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A4F" w:rsidRDefault="00EB2A4F">
      <w:bookmarkStart w:id="0" w:name="_GoBack"/>
      <w:bookmarkEnd w:id="0"/>
    </w:p>
    <w:p w:rsidR="007D424F" w:rsidRDefault="007D424F" w:rsidP="007D424F">
      <w:pPr>
        <w:pStyle w:val="NormaleWeb"/>
        <w:spacing w:before="0" w:beforeAutospacing="0" w:after="24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color w:val="000000"/>
        </w:rPr>
        <w:t xml:space="preserve">Facendo seguito all’informativa del 18.05. u.s. </w:t>
      </w:r>
      <w:r>
        <w:rPr>
          <w:color w:val="000000"/>
        </w:rPr>
        <w:t xml:space="preserve"> </w:t>
      </w:r>
      <w:r>
        <w:rPr>
          <w:color w:val="000000"/>
        </w:rPr>
        <w:t xml:space="preserve"> posti di funzionario E.Q. </w:t>
      </w:r>
      <w:proofErr w:type="gramStart"/>
      <w:r>
        <w:rPr>
          <w:color w:val="000000"/>
        </w:rPr>
        <w:t>( ex</w:t>
      </w:r>
      <w:proofErr w:type="gramEnd"/>
      <w:r>
        <w:rPr>
          <w:color w:val="000000"/>
        </w:rPr>
        <w:t xml:space="preserve"> DSGA ), da accantonare per le immissioni in ruolo, sono stati individuati in numero pari a 15 ( di cui 14 da procedura riservata - D.D.G. 1897/2024 e 1 da concorso ordinario  -D.D.G. 3122/2024).</w:t>
      </w:r>
    </w:p>
    <w:p w:rsidR="007D424F" w:rsidRDefault="007D424F" w:rsidP="007D424F">
      <w:pPr>
        <w:pStyle w:val="NormaleWeb"/>
        <w:spacing w:before="0" w:beforeAutospacing="0" w:after="24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color w:val="000000"/>
        </w:rPr>
        <w:t xml:space="preserve">Al riguardo, a rettifica di quanto sopra, si evidenzia che poiché il concorso ordinario D.D.G. 3122/2024 è stato bandito per 6 posti </w:t>
      </w:r>
      <w:proofErr w:type="gramStart"/>
      <w:r>
        <w:rPr>
          <w:color w:val="000000"/>
        </w:rPr>
        <w:t>( regione</w:t>
      </w:r>
      <w:proofErr w:type="gramEnd"/>
      <w:r>
        <w:rPr>
          <w:color w:val="000000"/>
        </w:rPr>
        <w:t xml:space="preserve"> Calabria) ed essendo state effettuate </w:t>
      </w:r>
      <w:proofErr w:type="spellStart"/>
      <w:r>
        <w:rPr>
          <w:color w:val="000000"/>
        </w:rPr>
        <w:t>nell’a.s.</w:t>
      </w:r>
      <w:proofErr w:type="spellEnd"/>
      <w:r>
        <w:rPr>
          <w:color w:val="000000"/>
        </w:rPr>
        <w:t xml:space="preserve">  2025/2026 n. 3 immissioni in ruolo dalla relativa graduatoria, residuano ancora n. 3 immissioni in ruolo da effettuare.</w:t>
      </w:r>
    </w:p>
    <w:p w:rsidR="007D424F" w:rsidRDefault="007D424F" w:rsidP="007D424F">
      <w:pPr>
        <w:pStyle w:val="NormaleWeb"/>
        <w:spacing w:before="0" w:beforeAutospacing="0" w:after="240" w:afterAutospacing="0"/>
        <w:jc w:val="both"/>
        <w:rPr>
          <w:rFonts w:ascii="Segoe UI" w:hAnsi="Segoe UI" w:cs="Segoe UI"/>
          <w:color w:val="000000"/>
          <w:sz w:val="20"/>
          <w:szCs w:val="20"/>
        </w:rPr>
      </w:pPr>
      <w:r>
        <w:rPr>
          <w:color w:val="000000"/>
        </w:rPr>
        <w:t xml:space="preserve">Pertanto i posti da accantonare sono pari a n. 17 </w:t>
      </w:r>
      <w:proofErr w:type="gramStart"/>
      <w:r>
        <w:rPr>
          <w:color w:val="000000"/>
        </w:rPr>
        <w:t>( 14</w:t>
      </w:r>
      <w:proofErr w:type="gramEnd"/>
      <w:r>
        <w:rPr>
          <w:color w:val="000000"/>
        </w:rPr>
        <w:t xml:space="preserve"> da procedura riservata e 3 da concorso ordinario  e le disponibilità residue per la mobilità di diritto sono pari a n. 3,  così ripartite: 1 in provincia di Cosenza, 1 in provincia di Reggio Calabria e 1 in provincia di Vibo Valentia.</w:t>
      </w:r>
    </w:p>
    <w:p w:rsidR="007D424F" w:rsidRDefault="007D424F" w:rsidP="007D424F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1"/>
        <w:gridCol w:w="1626"/>
        <w:gridCol w:w="1620"/>
        <w:gridCol w:w="2247"/>
        <w:gridCol w:w="2617"/>
        <w:gridCol w:w="277"/>
      </w:tblGrid>
      <w:tr w:rsidR="007D424F" w:rsidRPr="007D424F" w:rsidTr="007D424F">
        <w:trPr>
          <w:trHeight w:val="315"/>
        </w:trPr>
        <w:tc>
          <w:tcPr>
            <w:tcW w:w="1227" w:type="dxa"/>
            <w:noWrap/>
            <w:hideMark/>
          </w:tcPr>
          <w:p w:rsidR="007D424F" w:rsidRPr="007D424F" w:rsidRDefault="007D424F"/>
        </w:tc>
        <w:tc>
          <w:tcPr>
            <w:tcW w:w="1634" w:type="dxa"/>
            <w:noWrap/>
            <w:hideMark/>
          </w:tcPr>
          <w:p w:rsidR="007D424F" w:rsidRPr="007D424F" w:rsidRDefault="007D424F"/>
        </w:tc>
        <w:tc>
          <w:tcPr>
            <w:tcW w:w="1600" w:type="dxa"/>
            <w:noWrap/>
            <w:hideMark/>
          </w:tcPr>
          <w:p w:rsidR="007D424F" w:rsidRPr="007D424F" w:rsidRDefault="007D424F"/>
        </w:tc>
        <w:tc>
          <w:tcPr>
            <w:tcW w:w="2259" w:type="dxa"/>
            <w:noWrap/>
            <w:hideMark/>
          </w:tcPr>
          <w:p w:rsidR="007D424F" w:rsidRPr="007D424F" w:rsidRDefault="007D424F"/>
        </w:tc>
        <w:tc>
          <w:tcPr>
            <w:tcW w:w="2631" w:type="dxa"/>
            <w:noWrap/>
            <w:hideMark/>
          </w:tcPr>
          <w:p w:rsidR="007D424F" w:rsidRPr="007D424F" w:rsidRDefault="007D424F"/>
        </w:tc>
        <w:tc>
          <w:tcPr>
            <w:tcW w:w="277" w:type="dxa"/>
            <w:noWrap/>
            <w:hideMark/>
          </w:tcPr>
          <w:p w:rsidR="007D424F" w:rsidRPr="007D424F" w:rsidRDefault="007D424F"/>
        </w:tc>
      </w:tr>
      <w:tr w:rsidR="007D424F" w:rsidRPr="007D424F" w:rsidTr="007D424F">
        <w:trPr>
          <w:trHeight w:val="600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PROVINCIA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DISPONIBILITA'</w:t>
            </w:r>
          </w:p>
        </w:tc>
        <w:tc>
          <w:tcPr>
            <w:tcW w:w="1600" w:type="dxa"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POSTI DA ACCANTONARE PER IMMISSIONI IN RUOLO</w:t>
            </w:r>
          </w:p>
        </w:tc>
        <w:tc>
          <w:tcPr>
            <w:tcW w:w="2259" w:type="dxa"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ACCANTONAMENTI PER IMMISSIONI IN RUOLO</w:t>
            </w:r>
          </w:p>
        </w:tc>
        <w:tc>
          <w:tcPr>
            <w:tcW w:w="2631" w:type="dxa"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DISPONIBILITA' RESIDUE PER MOBILITA'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</w:p>
        </w:tc>
      </w:tr>
      <w:tr w:rsidR="007D424F" w:rsidRPr="007D424F" w:rsidTr="007D424F">
        <w:trPr>
          <w:trHeight w:val="300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CS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 w:rsidP="007D424F">
            <w:r w:rsidRPr="007D424F">
              <w:t>11</w:t>
            </w:r>
          </w:p>
        </w:tc>
        <w:tc>
          <w:tcPr>
            <w:tcW w:w="1600" w:type="dxa"/>
            <w:vMerge w:val="restart"/>
            <w:noWrap/>
            <w:hideMark/>
          </w:tcPr>
          <w:p w:rsidR="007D424F" w:rsidRPr="007D424F" w:rsidRDefault="007D424F" w:rsidP="007D424F">
            <w:r w:rsidRPr="007D424F">
              <w:t>17</w:t>
            </w:r>
          </w:p>
        </w:tc>
        <w:tc>
          <w:tcPr>
            <w:tcW w:w="2259" w:type="dxa"/>
            <w:noWrap/>
            <w:hideMark/>
          </w:tcPr>
          <w:p w:rsidR="007D424F" w:rsidRPr="007D424F" w:rsidRDefault="007D424F" w:rsidP="007D424F">
            <w:r w:rsidRPr="007D424F">
              <w:t>10</w:t>
            </w:r>
          </w:p>
        </w:tc>
        <w:tc>
          <w:tcPr>
            <w:tcW w:w="2631" w:type="dxa"/>
            <w:noWrap/>
            <w:hideMark/>
          </w:tcPr>
          <w:p w:rsidR="007D424F" w:rsidRPr="007D424F" w:rsidRDefault="007D424F" w:rsidP="007D424F">
            <w:r w:rsidRPr="007D424F">
              <w:t>1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 w:rsidP="007D424F"/>
        </w:tc>
      </w:tr>
      <w:tr w:rsidR="007D424F" w:rsidRPr="007D424F" w:rsidTr="007D424F">
        <w:trPr>
          <w:trHeight w:val="300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KR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 w:rsidP="007D424F">
            <w:r w:rsidRPr="007D424F">
              <w:t>2</w:t>
            </w:r>
          </w:p>
        </w:tc>
        <w:tc>
          <w:tcPr>
            <w:tcW w:w="1600" w:type="dxa"/>
            <w:vMerge/>
            <w:hideMark/>
          </w:tcPr>
          <w:p w:rsidR="007D424F" w:rsidRPr="007D424F" w:rsidRDefault="007D424F"/>
        </w:tc>
        <w:tc>
          <w:tcPr>
            <w:tcW w:w="2259" w:type="dxa"/>
            <w:noWrap/>
            <w:hideMark/>
          </w:tcPr>
          <w:p w:rsidR="007D424F" w:rsidRPr="007D424F" w:rsidRDefault="007D424F" w:rsidP="007D424F">
            <w:r w:rsidRPr="007D424F">
              <w:t>2</w:t>
            </w:r>
          </w:p>
        </w:tc>
        <w:tc>
          <w:tcPr>
            <w:tcW w:w="2631" w:type="dxa"/>
            <w:noWrap/>
            <w:hideMark/>
          </w:tcPr>
          <w:p w:rsidR="007D424F" w:rsidRPr="007D424F" w:rsidRDefault="007D424F" w:rsidP="007D424F">
            <w:r w:rsidRPr="007D424F">
              <w:t>0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 w:rsidP="007D424F"/>
        </w:tc>
      </w:tr>
      <w:tr w:rsidR="007D424F" w:rsidRPr="007D424F" w:rsidTr="007D424F">
        <w:trPr>
          <w:trHeight w:val="300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RC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 w:rsidP="007D424F">
            <w:r w:rsidRPr="007D424F">
              <w:t>5</w:t>
            </w:r>
          </w:p>
        </w:tc>
        <w:tc>
          <w:tcPr>
            <w:tcW w:w="1600" w:type="dxa"/>
            <w:vMerge/>
            <w:hideMark/>
          </w:tcPr>
          <w:p w:rsidR="007D424F" w:rsidRPr="007D424F" w:rsidRDefault="007D424F"/>
        </w:tc>
        <w:tc>
          <w:tcPr>
            <w:tcW w:w="2259" w:type="dxa"/>
            <w:noWrap/>
            <w:hideMark/>
          </w:tcPr>
          <w:p w:rsidR="007D424F" w:rsidRPr="007D424F" w:rsidRDefault="007D424F" w:rsidP="007D424F">
            <w:r w:rsidRPr="007D424F">
              <w:t>4</w:t>
            </w:r>
          </w:p>
        </w:tc>
        <w:tc>
          <w:tcPr>
            <w:tcW w:w="2631" w:type="dxa"/>
            <w:noWrap/>
            <w:hideMark/>
          </w:tcPr>
          <w:p w:rsidR="007D424F" w:rsidRPr="007D424F" w:rsidRDefault="007D424F" w:rsidP="007D424F">
            <w:r w:rsidRPr="007D424F">
              <w:t>1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 w:rsidP="007D424F"/>
        </w:tc>
      </w:tr>
      <w:tr w:rsidR="007D424F" w:rsidRPr="007D424F" w:rsidTr="007D424F">
        <w:trPr>
          <w:trHeight w:val="300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VV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 w:rsidP="007D424F">
            <w:r w:rsidRPr="007D424F">
              <w:t>2</w:t>
            </w:r>
          </w:p>
        </w:tc>
        <w:tc>
          <w:tcPr>
            <w:tcW w:w="1600" w:type="dxa"/>
            <w:vMerge/>
            <w:hideMark/>
          </w:tcPr>
          <w:p w:rsidR="007D424F" w:rsidRPr="007D424F" w:rsidRDefault="007D424F"/>
        </w:tc>
        <w:tc>
          <w:tcPr>
            <w:tcW w:w="2259" w:type="dxa"/>
            <w:noWrap/>
            <w:hideMark/>
          </w:tcPr>
          <w:p w:rsidR="007D424F" w:rsidRPr="007D424F" w:rsidRDefault="007D424F" w:rsidP="007D424F">
            <w:r w:rsidRPr="007D424F">
              <w:t>1</w:t>
            </w:r>
          </w:p>
        </w:tc>
        <w:tc>
          <w:tcPr>
            <w:tcW w:w="2631" w:type="dxa"/>
            <w:noWrap/>
            <w:hideMark/>
          </w:tcPr>
          <w:p w:rsidR="007D424F" w:rsidRPr="007D424F" w:rsidRDefault="007D424F" w:rsidP="007D424F">
            <w:r w:rsidRPr="007D424F">
              <w:t>1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 w:rsidP="007D424F"/>
        </w:tc>
      </w:tr>
      <w:tr w:rsidR="007D424F" w:rsidRPr="007D424F" w:rsidTr="007D424F">
        <w:trPr>
          <w:trHeight w:val="315"/>
        </w:trPr>
        <w:tc>
          <w:tcPr>
            <w:tcW w:w="1227" w:type="dxa"/>
            <w:noWrap/>
            <w:hideMark/>
          </w:tcPr>
          <w:p w:rsidR="007D424F" w:rsidRPr="007D424F" w:rsidRDefault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TOT</w:t>
            </w:r>
          </w:p>
        </w:tc>
        <w:tc>
          <w:tcPr>
            <w:tcW w:w="1634" w:type="dxa"/>
            <w:noWrap/>
            <w:hideMark/>
          </w:tcPr>
          <w:p w:rsidR="007D424F" w:rsidRPr="007D424F" w:rsidRDefault="007D424F" w:rsidP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20</w:t>
            </w:r>
          </w:p>
        </w:tc>
        <w:tc>
          <w:tcPr>
            <w:tcW w:w="1600" w:type="dxa"/>
            <w:vMerge/>
            <w:hideMark/>
          </w:tcPr>
          <w:p w:rsidR="007D424F" w:rsidRPr="007D424F" w:rsidRDefault="007D424F"/>
        </w:tc>
        <w:tc>
          <w:tcPr>
            <w:tcW w:w="2259" w:type="dxa"/>
            <w:noWrap/>
            <w:hideMark/>
          </w:tcPr>
          <w:p w:rsidR="007D424F" w:rsidRPr="007D424F" w:rsidRDefault="007D424F" w:rsidP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17</w:t>
            </w:r>
          </w:p>
        </w:tc>
        <w:tc>
          <w:tcPr>
            <w:tcW w:w="2631" w:type="dxa"/>
            <w:noWrap/>
            <w:hideMark/>
          </w:tcPr>
          <w:p w:rsidR="007D424F" w:rsidRPr="007D424F" w:rsidRDefault="007D424F" w:rsidP="007D424F">
            <w:pPr>
              <w:rPr>
                <w:b/>
                <w:bCs/>
              </w:rPr>
            </w:pPr>
            <w:r w:rsidRPr="007D424F">
              <w:rPr>
                <w:b/>
                <w:bCs/>
              </w:rPr>
              <w:t>3</w:t>
            </w:r>
          </w:p>
        </w:tc>
        <w:tc>
          <w:tcPr>
            <w:tcW w:w="277" w:type="dxa"/>
            <w:noWrap/>
            <w:hideMark/>
          </w:tcPr>
          <w:p w:rsidR="007D424F" w:rsidRPr="007D424F" w:rsidRDefault="007D424F" w:rsidP="007D424F">
            <w:pPr>
              <w:rPr>
                <w:b/>
                <w:bCs/>
              </w:rPr>
            </w:pPr>
          </w:p>
        </w:tc>
      </w:tr>
    </w:tbl>
    <w:p w:rsidR="007D424F" w:rsidRDefault="007D424F"/>
    <w:sectPr w:rsidR="007D42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4F"/>
    <w:rsid w:val="007D424F"/>
    <w:rsid w:val="00EB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1215"/>
  <w15:chartTrackingRefBased/>
  <w15:docId w15:val="{E9A04DE2-2ECA-479D-BF57-DA500DB3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4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7D4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9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2026-06-02T17:32:00Z</dcterms:created>
  <dcterms:modified xsi:type="dcterms:W3CDTF">2026-06-02T17:37:00Z</dcterms:modified>
</cp:coreProperties>
</file>