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1409F" w:rsidRPr="0031409F" w:rsidRDefault="0031409F" w:rsidP="0031409F">
      <w:pPr>
        <w:shd w:val="clear" w:color="auto" w:fill="FFFFFF"/>
        <w:spacing w:line="240" w:lineRule="auto"/>
        <w:jc w:val="center"/>
        <w:outlineLvl w:val="0"/>
        <w:rPr>
          <w:rFonts w:ascii="Times New Roman" w:eastAsia="Times New Roman" w:hAnsi="Times New Roman" w:cs="Times New Roman"/>
          <w:b/>
          <w:bCs/>
          <w:caps/>
          <w:color w:val="111111"/>
          <w:kern w:val="36"/>
          <w:sz w:val="28"/>
          <w:szCs w:val="28"/>
          <w:lang w:eastAsia="it-IT"/>
        </w:rPr>
      </w:pPr>
      <w:r w:rsidRPr="0031409F">
        <w:rPr>
          <w:rFonts w:ascii="Times New Roman" w:eastAsia="Times New Roman" w:hAnsi="Times New Roman" w:cs="Times New Roman"/>
          <w:b/>
          <w:bCs/>
          <w:caps/>
          <w:color w:val="111111"/>
          <w:kern w:val="36"/>
          <w:sz w:val="28"/>
          <w:szCs w:val="28"/>
          <w:lang w:eastAsia="it-IT"/>
        </w:rPr>
        <w:t>Supplenze 2026/27:</w:t>
      </w:r>
    </w:p>
    <w:p w:rsidR="0031409F" w:rsidRPr="0031409F" w:rsidRDefault="0031409F" w:rsidP="0031409F">
      <w:pPr>
        <w:shd w:val="clear" w:color="auto" w:fill="FFFFFF"/>
        <w:spacing w:line="240" w:lineRule="auto"/>
        <w:jc w:val="both"/>
        <w:outlineLvl w:val="0"/>
        <w:rPr>
          <w:rFonts w:ascii="Times New Roman" w:eastAsia="Times New Roman" w:hAnsi="Times New Roman" w:cs="Times New Roman"/>
          <w:b/>
          <w:bCs/>
          <w:caps/>
          <w:color w:val="444444"/>
          <w:sz w:val="28"/>
          <w:szCs w:val="28"/>
          <w:lang w:eastAsia="it-IT"/>
        </w:rPr>
      </w:pPr>
      <w:r w:rsidRPr="0031409F">
        <w:rPr>
          <w:rFonts w:ascii="Times New Roman" w:eastAsia="Times New Roman" w:hAnsi="Times New Roman" w:cs="Times New Roman"/>
          <w:b/>
          <w:bCs/>
          <w:caps/>
          <w:color w:val="111111"/>
          <w:kern w:val="36"/>
          <w:sz w:val="28"/>
          <w:szCs w:val="28"/>
          <w:lang w:eastAsia="it-IT"/>
        </w:rPr>
        <w:t xml:space="preserve">calendario delle operazioni, GPS sostegno, conferme e nomine da GAE/GPS </w:t>
      </w:r>
    </w:p>
    <w:p w:rsidR="0031409F" w:rsidRPr="0031409F" w:rsidRDefault="0031409F" w:rsidP="0031409F">
      <w:pPr>
        <w:shd w:val="clear" w:color="auto" w:fill="FFFFFF"/>
        <w:spacing w:line="240" w:lineRule="auto"/>
        <w:jc w:val="both"/>
        <w:rPr>
          <w:rFonts w:ascii="Times New Roman" w:eastAsia="Times New Roman" w:hAnsi="Times New Roman" w:cs="Times New Roman"/>
          <w:color w:val="000000"/>
          <w:sz w:val="24"/>
          <w:szCs w:val="24"/>
          <w:lang w:eastAsia="it-IT"/>
        </w:rPr>
      </w:pP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Si è svolto mercoledì 29 aprile, presso il Ministero dell’Istruzione e del Merito, l’incontro di informativa con le organizzazioni sindacali sulla bozza di nota operativa relativa al conferimento delle supplenze per l’anno scolastico 2026/2027.</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Il documento, di imminente pubblicazione, riepiloga criteri, tempistiche e modalità di attribuzione degli incarichi a tempo determinato per il personale docente, educativo e ATA. Per il personale docente, la bozza disciplina anche le </w:t>
      </w:r>
      <w:r w:rsidRPr="0031409F">
        <w:rPr>
          <w:rFonts w:ascii="Times New Roman" w:eastAsia="Times New Roman" w:hAnsi="Times New Roman" w:cs="Times New Roman"/>
          <w:b/>
          <w:bCs/>
          <w:color w:val="000000"/>
          <w:sz w:val="24"/>
          <w:szCs w:val="24"/>
          <w:lang w:eastAsia="it-IT"/>
        </w:rPr>
        <w:t>supplenze finalizzate al ruolo da GPS di prima fascia sostegno</w:t>
      </w:r>
      <w:r w:rsidRPr="0031409F">
        <w:rPr>
          <w:rFonts w:ascii="Times New Roman" w:eastAsia="Times New Roman" w:hAnsi="Times New Roman" w:cs="Times New Roman"/>
          <w:color w:val="000000"/>
          <w:sz w:val="24"/>
          <w:szCs w:val="24"/>
          <w:lang w:eastAsia="it-IT"/>
        </w:rPr>
        <w:t> e la procedura di conferma dei docenti a tempo determinato sui posti di sostegno.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Uno degli elementi centrali dell’informativa riguarda il calendario delle operazioni. Le funzioni telematiche su Istanze On Line saranno disponibili, per il personale docente ed educativo,</w:t>
      </w:r>
      <w:r w:rsidRPr="0031409F">
        <w:rPr>
          <w:rFonts w:ascii="Times New Roman" w:eastAsia="Times New Roman" w:hAnsi="Times New Roman" w:cs="Times New Roman"/>
          <w:b/>
          <w:bCs/>
          <w:color w:val="000000"/>
          <w:sz w:val="24"/>
          <w:szCs w:val="24"/>
          <w:lang w:eastAsia="it-IT"/>
        </w:rPr>
        <w:t> dalle ore 14.00 del 16 luglio 2026 alle ore 14.00 del 29 luglio 2026.</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In questa finestra temporale gli aspiranti potranno presentare domanda per:</w:t>
      </w:r>
    </w:p>
    <w:p w:rsidR="0031409F" w:rsidRPr="0031409F" w:rsidRDefault="0031409F" w:rsidP="0031409F">
      <w:pPr>
        <w:numPr>
          <w:ilvl w:val="0"/>
          <w:numId w:val="1"/>
        </w:numPr>
        <w:shd w:val="clear" w:color="auto" w:fill="FFFFFF"/>
        <w:spacing w:before="100" w:beforeAutospacing="1" w:after="150" w:line="240" w:lineRule="auto"/>
        <w:ind w:left="315"/>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gli incarichi finalizzati al ruolo da GPS prima fascia sostegno, limitatamente alla fase provinciale;</w:t>
      </w:r>
    </w:p>
    <w:p w:rsidR="0031409F" w:rsidRPr="0031409F" w:rsidRDefault="0031409F" w:rsidP="0031409F">
      <w:pPr>
        <w:numPr>
          <w:ilvl w:val="0"/>
          <w:numId w:val="1"/>
        </w:numPr>
        <w:shd w:val="clear" w:color="auto" w:fill="FFFFFF"/>
        <w:spacing w:before="100" w:beforeAutospacing="1" w:after="150" w:line="240" w:lineRule="auto"/>
        <w:ind w:left="315"/>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le conferme su posto di sostegno, per chi rientra nella procedura prevista dall’articolo 13 dell’Ordinanza Ministeriale n. 27/2026;</w:t>
      </w:r>
    </w:p>
    <w:p w:rsidR="0031409F" w:rsidRPr="0031409F" w:rsidRDefault="0031409F" w:rsidP="0031409F">
      <w:pPr>
        <w:numPr>
          <w:ilvl w:val="0"/>
          <w:numId w:val="1"/>
        </w:numPr>
        <w:shd w:val="clear" w:color="auto" w:fill="FFFFFF"/>
        <w:spacing w:before="100" w:beforeAutospacing="1" w:after="0" w:line="240" w:lineRule="auto"/>
        <w:ind w:left="315"/>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le supplenze annuali al 31 agosto e fino al termine delle attività didattiche al 30 giugno.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Per la fase interprovinciale degli incarichi finalizzati al ruolo da GPS prima fascia sostegno, comunemente definita mini call veloce, le domande </w:t>
      </w:r>
      <w:r w:rsidRPr="0031409F">
        <w:rPr>
          <w:rFonts w:ascii="Times New Roman" w:eastAsia="Times New Roman" w:hAnsi="Times New Roman" w:cs="Times New Roman"/>
          <w:b/>
          <w:bCs/>
          <w:color w:val="000000"/>
          <w:sz w:val="24"/>
          <w:szCs w:val="24"/>
          <w:lang w:eastAsia="it-IT"/>
        </w:rPr>
        <w:t>potranno invece essere presentate dalle ore 14.00 del 14 agosto alle ore 12.00 del 18 agosto 2026. </w:t>
      </w:r>
      <w:r w:rsidRPr="0031409F">
        <w:rPr>
          <w:rFonts w:ascii="Times New Roman" w:eastAsia="Times New Roman" w:hAnsi="Times New Roman" w:cs="Times New Roman"/>
          <w:color w:val="000000"/>
          <w:sz w:val="24"/>
          <w:szCs w:val="24"/>
          <w:lang w:eastAsia="it-IT"/>
        </w:rPr>
        <w:t>Gli Uffici dovranno pubblicare le sedi residue disponibili per tale fase entro le ore 10.00 del 14 agosto 2026.</w:t>
      </w:r>
    </w:p>
    <w:tbl>
      <w:tblPr>
        <w:tblW w:w="10440" w:type="dxa"/>
        <w:tblCellMar>
          <w:top w:w="15" w:type="dxa"/>
          <w:left w:w="15" w:type="dxa"/>
          <w:bottom w:w="15" w:type="dxa"/>
          <w:right w:w="15" w:type="dxa"/>
        </w:tblCellMar>
        <w:tblLook w:val="04A0" w:firstRow="1" w:lastRow="0" w:firstColumn="1" w:lastColumn="0" w:noHBand="0" w:noVBand="1"/>
      </w:tblPr>
      <w:tblGrid>
        <w:gridCol w:w="3470"/>
        <w:gridCol w:w="6970"/>
      </w:tblGrid>
      <w:tr w:rsidR="0031409F" w:rsidRPr="0031409F" w:rsidTr="0031409F">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D9EAF7"/>
            <w:tcMar>
              <w:top w:w="120" w:type="dxa"/>
              <w:left w:w="120" w:type="dxa"/>
              <w:bottom w:w="120" w:type="dxa"/>
              <w:right w:w="120" w:type="dxa"/>
            </w:tcMar>
            <w:vAlign w:val="center"/>
            <w:hideMark/>
          </w:tcPr>
          <w:p w:rsidR="0031409F" w:rsidRPr="0031409F" w:rsidRDefault="0031409F" w:rsidP="0031409F">
            <w:pPr>
              <w:spacing w:after="315" w:line="240" w:lineRule="auto"/>
              <w:jc w:val="both"/>
              <w:rPr>
                <w:rFonts w:ascii="Times New Roman" w:eastAsia="Times New Roman" w:hAnsi="Times New Roman" w:cs="Times New Roman"/>
                <w:b/>
                <w:bCs/>
                <w:sz w:val="24"/>
                <w:szCs w:val="24"/>
                <w:lang w:eastAsia="it-IT"/>
              </w:rPr>
            </w:pPr>
            <w:r w:rsidRPr="0031409F">
              <w:rPr>
                <w:rFonts w:ascii="Times New Roman" w:eastAsia="Times New Roman" w:hAnsi="Times New Roman" w:cs="Times New Roman"/>
                <w:b/>
                <w:bCs/>
                <w:sz w:val="24"/>
                <w:szCs w:val="24"/>
                <w:lang w:eastAsia="it-IT"/>
              </w:rPr>
              <w:t>Fase</w:t>
            </w:r>
          </w:p>
        </w:tc>
        <w:tc>
          <w:tcPr>
            <w:tcW w:w="0" w:type="auto"/>
            <w:tcBorders>
              <w:top w:val="single" w:sz="6" w:space="0" w:color="000000"/>
              <w:left w:val="single" w:sz="6" w:space="0" w:color="000000"/>
              <w:bottom w:val="single" w:sz="6" w:space="0" w:color="000000"/>
              <w:right w:val="single" w:sz="6" w:space="0" w:color="000000"/>
            </w:tcBorders>
            <w:shd w:val="clear" w:color="auto" w:fill="D9EAF7"/>
            <w:tcMar>
              <w:top w:w="120" w:type="dxa"/>
              <w:left w:w="120" w:type="dxa"/>
              <w:bottom w:w="120" w:type="dxa"/>
              <w:right w:w="120" w:type="dxa"/>
            </w:tcMar>
            <w:vAlign w:val="center"/>
            <w:hideMark/>
          </w:tcPr>
          <w:p w:rsidR="0031409F" w:rsidRPr="0031409F" w:rsidRDefault="0031409F" w:rsidP="0031409F">
            <w:pPr>
              <w:spacing w:after="315" w:line="240" w:lineRule="auto"/>
              <w:jc w:val="both"/>
              <w:rPr>
                <w:rFonts w:ascii="Times New Roman" w:eastAsia="Times New Roman" w:hAnsi="Times New Roman" w:cs="Times New Roman"/>
                <w:b/>
                <w:bCs/>
                <w:sz w:val="24"/>
                <w:szCs w:val="24"/>
                <w:lang w:eastAsia="it-IT"/>
              </w:rPr>
            </w:pPr>
            <w:r w:rsidRPr="0031409F">
              <w:rPr>
                <w:rFonts w:ascii="Times New Roman" w:eastAsia="Times New Roman" w:hAnsi="Times New Roman" w:cs="Times New Roman"/>
                <w:b/>
                <w:bCs/>
                <w:sz w:val="24"/>
                <w:szCs w:val="24"/>
                <w:lang w:eastAsia="it-IT"/>
              </w:rPr>
              <w:t>Tempistica/indicazioni</w:t>
            </w:r>
          </w:p>
        </w:tc>
      </w:tr>
      <w:tr w:rsidR="0031409F" w:rsidRPr="0031409F" w:rsidTr="0031409F">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31409F" w:rsidRPr="0031409F" w:rsidRDefault="0031409F" w:rsidP="0031409F">
            <w:pPr>
              <w:spacing w:after="315" w:line="240" w:lineRule="auto"/>
              <w:jc w:val="both"/>
              <w:rPr>
                <w:rFonts w:ascii="Times New Roman" w:eastAsia="Times New Roman" w:hAnsi="Times New Roman" w:cs="Times New Roman"/>
                <w:sz w:val="24"/>
                <w:szCs w:val="24"/>
                <w:lang w:eastAsia="it-IT"/>
              </w:rPr>
            </w:pPr>
            <w:r w:rsidRPr="0031409F">
              <w:rPr>
                <w:rFonts w:ascii="Times New Roman" w:eastAsia="Times New Roman" w:hAnsi="Times New Roman" w:cs="Times New Roman"/>
                <w:sz w:val="24"/>
                <w:szCs w:val="24"/>
                <w:lang w:eastAsia="it-IT"/>
              </w:rPr>
              <w:t>Istanza POLIS per le 150 preferenze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31409F" w:rsidRPr="0031409F" w:rsidRDefault="0031409F" w:rsidP="0031409F">
            <w:pPr>
              <w:spacing w:after="315" w:line="240" w:lineRule="auto"/>
              <w:jc w:val="both"/>
              <w:rPr>
                <w:rFonts w:ascii="Times New Roman" w:eastAsia="Times New Roman" w:hAnsi="Times New Roman" w:cs="Times New Roman"/>
                <w:sz w:val="24"/>
                <w:szCs w:val="24"/>
                <w:lang w:eastAsia="it-IT"/>
              </w:rPr>
            </w:pPr>
            <w:r w:rsidRPr="0031409F">
              <w:rPr>
                <w:rFonts w:ascii="Times New Roman" w:eastAsia="Times New Roman" w:hAnsi="Times New Roman" w:cs="Times New Roman"/>
                <w:sz w:val="24"/>
                <w:szCs w:val="24"/>
                <w:lang w:eastAsia="it-IT"/>
              </w:rPr>
              <w:t>Dalle ore 14.00 del 16 luglio 2026 alle ore 14.00 del 29 luglio 2026.</w:t>
            </w:r>
          </w:p>
        </w:tc>
      </w:tr>
      <w:tr w:rsidR="0031409F" w:rsidRPr="0031409F" w:rsidTr="0031409F">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31409F" w:rsidRPr="0031409F" w:rsidRDefault="0031409F" w:rsidP="0031409F">
            <w:pPr>
              <w:spacing w:after="315" w:line="240" w:lineRule="auto"/>
              <w:jc w:val="both"/>
              <w:rPr>
                <w:rFonts w:ascii="Times New Roman" w:eastAsia="Times New Roman" w:hAnsi="Times New Roman" w:cs="Times New Roman"/>
                <w:sz w:val="24"/>
                <w:szCs w:val="24"/>
                <w:lang w:eastAsia="it-IT"/>
              </w:rPr>
            </w:pPr>
            <w:r w:rsidRPr="0031409F">
              <w:rPr>
                <w:rFonts w:ascii="Times New Roman" w:eastAsia="Times New Roman" w:hAnsi="Times New Roman" w:cs="Times New Roman"/>
                <w:sz w:val="24"/>
                <w:szCs w:val="24"/>
                <w:lang w:eastAsia="it-IT"/>
              </w:rPr>
              <w:t>Procedura provinciale GPS I fascia sostegno finalizzata al ruolo</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31409F" w:rsidRPr="0031409F" w:rsidRDefault="0031409F" w:rsidP="0031409F">
            <w:pPr>
              <w:spacing w:after="315" w:line="240" w:lineRule="auto"/>
              <w:jc w:val="both"/>
              <w:rPr>
                <w:rFonts w:ascii="Times New Roman" w:eastAsia="Times New Roman" w:hAnsi="Times New Roman" w:cs="Times New Roman"/>
                <w:sz w:val="24"/>
                <w:szCs w:val="24"/>
                <w:lang w:eastAsia="it-IT"/>
              </w:rPr>
            </w:pPr>
            <w:r w:rsidRPr="0031409F">
              <w:rPr>
                <w:rFonts w:ascii="Times New Roman" w:eastAsia="Times New Roman" w:hAnsi="Times New Roman" w:cs="Times New Roman"/>
                <w:sz w:val="24"/>
                <w:szCs w:val="24"/>
                <w:lang w:eastAsia="it-IT"/>
              </w:rPr>
              <w:t>Da svolgere dopo le ordinarie immissioni in ruolo e da concludere prima dell’avvio della fase interprovinciale.</w:t>
            </w:r>
          </w:p>
        </w:tc>
      </w:tr>
      <w:tr w:rsidR="0031409F" w:rsidRPr="0031409F" w:rsidTr="0031409F">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31409F" w:rsidRPr="0031409F" w:rsidRDefault="0031409F" w:rsidP="0031409F">
            <w:pPr>
              <w:spacing w:after="315" w:line="240" w:lineRule="auto"/>
              <w:jc w:val="both"/>
              <w:rPr>
                <w:rFonts w:ascii="Times New Roman" w:eastAsia="Times New Roman" w:hAnsi="Times New Roman" w:cs="Times New Roman"/>
                <w:sz w:val="24"/>
                <w:szCs w:val="24"/>
                <w:lang w:eastAsia="it-IT"/>
              </w:rPr>
            </w:pPr>
            <w:r w:rsidRPr="0031409F">
              <w:rPr>
                <w:rFonts w:ascii="Times New Roman" w:eastAsia="Times New Roman" w:hAnsi="Times New Roman" w:cs="Times New Roman"/>
                <w:sz w:val="24"/>
                <w:szCs w:val="24"/>
                <w:lang w:eastAsia="it-IT"/>
              </w:rPr>
              <w:t>Pubblicazione dei posti residui per la fase interprovinciale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31409F" w:rsidRPr="0031409F" w:rsidRDefault="0031409F" w:rsidP="0031409F">
            <w:pPr>
              <w:spacing w:after="315" w:line="240" w:lineRule="auto"/>
              <w:jc w:val="both"/>
              <w:rPr>
                <w:rFonts w:ascii="Times New Roman" w:eastAsia="Times New Roman" w:hAnsi="Times New Roman" w:cs="Times New Roman"/>
                <w:sz w:val="24"/>
                <w:szCs w:val="24"/>
                <w:lang w:eastAsia="it-IT"/>
              </w:rPr>
            </w:pPr>
            <w:r w:rsidRPr="0031409F">
              <w:rPr>
                <w:rFonts w:ascii="Times New Roman" w:eastAsia="Times New Roman" w:hAnsi="Times New Roman" w:cs="Times New Roman"/>
                <w:sz w:val="24"/>
                <w:szCs w:val="24"/>
                <w:lang w:eastAsia="it-IT"/>
              </w:rPr>
              <w:t>Entro le ore 10.00 del 14 agosto 2026.</w:t>
            </w:r>
          </w:p>
        </w:tc>
      </w:tr>
      <w:tr w:rsidR="0031409F" w:rsidRPr="0031409F" w:rsidTr="0031409F">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31409F" w:rsidRPr="0031409F" w:rsidRDefault="0031409F" w:rsidP="0031409F">
            <w:pPr>
              <w:spacing w:after="315" w:line="240" w:lineRule="auto"/>
              <w:jc w:val="both"/>
              <w:rPr>
                <w:rFonts w:ascii="Times New Roman" w:eastAsia="Times New Roman" w:hAnsi="Times New Roman" w:cs="Times New Roman"/>
                <w:sz w:val="24"/>
                <w:szCs w:val="24"/>
                <w:lang w:eastAsia="it-IT"/>
              </w:rPr>
            </w:pPr>
            <w:r w:rsidRPr="0031409F">
              <w:rPr>
                <w:rFonts w:ascii="Times New Roman" w:eastAsia="Times New Roman" w:hAnsi="Times New Roman" w:cs="Times New Roman"/>
                <w:sz w:val="24"/>
                <w:szCs w:val="24"/>
                <w:lang w:eastAsia="it-IT"/>
              </w:rPr>
              <w:lastRenderedPageBreak/>
              <w:t>Domanda per la fase interprovinciale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31409F" w:rsidRPr="0031409F" w:rsidRDefault="0031409F" w:rsidP="0031409F">
            <w:pPr>
              <w:spacing w:after="315" w:line="240" w:lineRule="auto"/>
              <w:jc w:val="both"/>
              <w:rPr>
                <w:rFonts w:ascii="Times New Roman" w:eastAsia="Times New Roman" w:hAnsi="Times New Roman" w:cs="Times New Roman"/>
                <w:sz w:val="24"/>
                <w:szCs w:val="24"/>
                <w:lang w:eastAsia="it-IT"/>
              </w:rPr>
            </w:pPr>
            <w:r w:rsidRPr="0031409F">
              <w:rPr>
                <w:rFonts w:ascii="Times New Roman" w:eastAsia="Times New Roman" w:hAnsi="Times New Roman" w:cs="Times New Roman"/>
                <w:sz w:val="24"/>
                <w:szCs w:val="24"/>
                <w:lang w:eastAsia="it-IT"/>
              </w:rPr>
              <w:t>Dalle ore 14.00 del 14 agosto 2026 alle ore 12.00 del 18 agosto 2026.</w:t>
            </w:r>
          </w:p>
        </w:tc>
      </w:tr>
      <w:tr w:rsidR="0031409F" w:rsidRPr="0031409F" w:rsidTr="0031409F">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31409F" w:rsidRPr="0031409F" w:rsidRDefault="0031409F" w:rsidP="0031409F">
            <w:pPr>
              <w:spacing w:after="315" w:line="240" w:lineRule="auto"/>
              <w:jc w:val="both"/>
              <w:rPr>
                <w:rFonts w:ascii="Times New Roman" w:eastAsia="Times New Roman" w:hAnsi="Times New Roman" w:cs="Times New Roman"/>
                <w:sz w:val="24"/>
                <w:szCs w:val="24"/>
                <w:lang w:eastAsia="it-IT"/>
              </w:rPr>
            </w:pPr>
            <w:r w:rsidRPr="0031409F">
              <w:rPr>
                <w:rFonts w:ascii="Times New Roman" w:eastAsia="Times New Roman" w:hAnsi="Times New Roman" w:cs="Times New Roman"/>
                <w:sz w:val="24"/>
                <w:szCs w:val="24"/>
                <w:lang w:eastAsia="it-IT"/>
              </w:rPr>
              <w:t>Conferme su posto di sostegno</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31409F" w:rsidRPr="0031409F" w:rsidRDefault="0031409F" w:rsidP="0031409F">
            <w:pPr>
              <w:spacing w:after="315" w:line="240" w:lineRule="auto"/>
              <w:jc w:val="both"/>
              <w:rPr>
                <w:rFonts w:ascii="Times New Roman" w:eastAsia="Times New Roman" w:hAnsi="Times New Roman" w:cs="Times New Roman"/>
                <w:sz w:val="24"/>
                <w:szCs w:val="24"/>
                <w:lang w:eastAsia="it-IT"/>
              </w:rPr>
            </w:pPr>
            <w:r w:rsidRPr="0031409F">
              <w:rPr>
                <w:rFonts w:ascii="Times New Roman" w:eastAsia="Times New Roman" w:hAnsi="Times New Roman" w:cs="Times New Roman"/>
                <w:sz w:val="24"/>
                <w:szCs w:val="24"/>
                <w:lang w:eastAsia="it-IT"/>
              </w:rPr>
              <w:t>Da effettuare dopo le operazioni a tempo indeterminato, la procedura finalizzata al ruolo e le operazioni di utilizzazione e assegnazione provvisoria.</w:t>
            </w:r>
          </w:p>
        </w:tc>
      </w:tr>
      <w:tr w:rsidR="0031409F" w:rsidRPr="0031409F" w:rsidTr="0031409F">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31409F" w:rsidRPr="0031409F" w:rsidRDefault="0031409F" w:rsidP="0031409F">
            <w:pPr>
              <w:spacing w:after="315" w:line="240" w:lineRule="auto"/>
              <w:jc w:val="both"/>
              <w:rPr>
                <w:rFonts w:ascii="Times New Roman" w:eastAsia="Times New Roman" w:hAnsi="Times New Roman" w:cs="Times New Roman"/>
                <w:sz w:val="24"/>
                <w:szCs w:val="24"/>
                <w:lang w:eastAsia="it-IT"/>
              </w:rPr>
            </w:pPr>
            <w:r w:rsidRPr="0031409F">
              <w:rPr>
                <w:rFonts w:ascii="Times New Roman" w:eastAsia="Times New Roman" w:hAnsi="Times New Roman" w:cs="Times New Roman"/>
                <w:sz w:val="24"/>
                <w:szCs w:val="24"/>
                <w:lang w:eastAsia="it-IT"/>
              </w:rPr>
              <w:t>Nomine da GAE/GPS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hideMark/>
          </w:tcPr>
          <w:p w:rsidR="0031409F" w:rsidRPr="0031409F" w:rsidRDefault="0031409F" w:rsidP="0031409F">
            <w:pPr>
              <w:spacing w:after="315" w:line="240" w:lineRule="auto"/>
              <w:jc w:val="both"/>
              <w:rPr>
                <w:rFonts w:ascii="Times New Roman" w:eastAsia="Times New Roman" w:hAnsi="Times New Roman" w:cs="Times New Roman"/>
                <w:sz w:val="24"/>
                <w:szCs w:val="24"/>
                <w:lang w:eastAsia="it-IT"/>
              </w:rPr>
            </w:pPr>
            <w:r w:rsidRPr="0031409F">
              <w:rPr>
                <w:rFonts w:ascii="Times New Roman" w:eastAsia="Times New Roman" w:hAnsi="Times New Roman" w:cs="Times New Roman"/>
                <w:sz w:val="24"/>
                <w:szCs w:val="24"/>
                <w:lang w:eastAsia="it-IT"/>
              </w:rPr>
              <w:t>Successivamente alle fasi precedenti, con pubblicazione delle disponibilità utilizzate per ciascun turno di nomina.</w:t>
            </w:r>
          </w:p>
        </w:tc>
      </w:tr>
    </w:tbl>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La bozza chiarisce anche la posizione del personale scolastico già di ruolo. Il personale che </w:t>
      </w:r>
      <w:r w:rsidRPr="0031409F">
        <w:rPr>
          <w:rFonts w:ascii="Times New Roman" w:eastAsia="Times New Roman" w:hAnsi="Times New Roman" w:cs="Times New Roman"/>
          <w:b/>
          <w:bCs/>
          <w:color w:val="000000"/>
          <w:sz w:val="24"/>
          <w:szCs w:val="24"/>
          <w:lang w:eastAsia="it-IT"/>
        </w:rPr>
        <w:t>abbia superato il periodo di prova con decorrenza 1° settembre 2025</w:t>
      </w:r>
      <w:r w:rsidRPr="0031409F">
        <w:rPr>
          <w:rFonts w:ascii="Times New Roman" w:eastAsia="Times New Roman" w:hAnsi="Times New Roman" w:cs="Times New Roman"/>
          <w:color w:val="000000"/>
          <w:sz w:val="24"/>
          <w:szCs w:val="24"/>
          <w:lang w:eastAsia="it-IT"/>
        </w:rPr>
        <w:t> o anni precedenti, qualora in possesso dei requisiti previsti, potrà partecipare alle procedure nei limiti stabiliti dagli articoli 47 e 70 del CCNL del Comparto Istruzione e Ricerca 2019/2021.</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Non potranno invece partecipare i docenti </w:t>
      </w:r>
      <w:r w:rsidRPr="0031409F">
        <w:rPr>
          <w:rFonts w:ascii="Times New Roman" w:eastAsia="Times New Roman" w:hAnsi="Times New Roman" w:cs="Times New Roman"/>
          <w:b/>
          <w:bCs/>
          <w:color w:val="000000"/>
          <w:sz w:val="24"/>
          <w:szCs w:val="24"/>
          <w:u w:val="single"/>
          <w:lang w:eastAsia="it-IT"/>
        </w:rPr>
        <w:t>tenuti allo svolgimento dell’anno di prova.</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Per quanto riguarda gli incarichi finalizzati al ruolo da GPS prima fascia sostegno, la partecipazione è riservata esclusivamente agli aspiranti inseriti a pieno titolo nella prima fascia GPS per i posti di sostegno. Sono pertanto </w:t>
      </w:r>
      <w:r w:rsidRPr="0031409F">
        <w:rPr>
          <w:rFonts w:ascii="Times New Roman" w:eastAsia="Times New Roman" w:hAnsi="Times New Roman" w:cs="Times New Roman"/>
          <w:b/>
          <w:bCs/>
          <w:color w:val="000000"/>
          <w:sz w:val="24"/>
          <w:szCs w:val="24"/>
          <w:u w:val="single"/>
          <w:lang w:eastAsia="it-IT"/>
        </w:rPr>
        <w:t>esclusi gli aspiranti inseriti con riserva</w:t>
      </w:r>
      <w:r w:rsidRPr="0031409F">
        <w:rPr>
          <w:rFonts w:ascii="Times New Roman" w:eastAsia="Times New Roman" w:hAnsi="Times New Roman" w:cs="Times New Roman"/>
          <w:color w:val="000000"/>
          <w:sz w:val="24"/>
          <w:szCs w:val="24"/>
          <w:lang w:eastAsia="it-IT"/>
        </w:rPr>
        <w:t>, in quanto in attesa del conseguimento o del riconoscimento del titolo di specializzazione.</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Anche per l’anno scolastico 2026/2027 viene confermata la procedura straordinaria di reclutamento sui posti di sostegno vacanti e disponibili residuati dopo le ordinarie immissioni in ruolo.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La procedura riguarda i docenti inseriti a pieno titolo nella prima fascia GPS sostegno e si articola in due momenti distinti: </w:t>
      </w:r>
      <w:r w:rsidRPr="0031409F">
        <w:rPr>
          <w:rFonts w:ascii="Times New Roman" w:eastAsia="Times New Roman" w:hAnsi="Times New Roman" w:cs="Times New Roman"/>
          <w:b/>
          <w:bCs/>
          <w:color w:val="000000"/>
          <w:sz w:val="24"/>
          <w:szCs w:val="24"/>
          <w:lang w:eastAsia="it-IT"/>
        </w:rPr>
        <w:t>una fase provinciale e una fase interprovinciale.</w:t>
      </w:r>
    </w:p>
    <w:p w:rsidR="0031409F" w:rsidRDefault="0031409F" w:rsidP="0031409F">
      <w:pPr>
        <w:shd w:val="clear" w:color="auto" w:fill="FFFFFF"/>
        <w:spacing w:after="0" w:line="570" w:lineRule="atLeast"/>
        <w:jc w:val="both"/>
        <w:outlineLvl w:val="1"/>
        <w:rPr>
          <w:rFonts w:ascii="Times New Roman" w:eastAsia="Times New Roman" w:hAnsi="Times New Roman" w:cs="Times New Roman"/>
          <w:b/>
          <w:bCs/>
          <w:sz w:val="28"/>
          <w:szCs w:val="28"/>
          <w:lang w:eastAsia="it-IT"/>
        </w:rPr>
      </w:pPr>
      <w:r w:rsidRPr="0031409F">
        <w:rPr>
          <w:rFonts w:ascii="Times New Roman" w:eastAsia="Times New Roman" w:hAnsi="Times New Roman" w:cs="Times New Roman"/>
          <w:b/>
          <w:bCs/>
          <w:sz w:val="28"/>
          <w:szCs w:val="28"/>
          <w:lang w:eastAsia="it-IT"/>
        </w:rPr>
        <w:t>Nomine finalizzate al ruolo GPS I fascia sostegno   Fase provinciale:</w:t>
      </w:r>
    </w:p>
    <w:p w:rsidR="0031409F" w:rsidRDefault="0031409F" w:rsidP="0031409F">
      <w:pPr>
        <w:shd w:val="clear" w:color="auto" w:fill="FFFFFF"/>
        <w:spacing w:after="0" w:line="570" w:lineRule="atLeast"/>
        <w:jc w:val="both"/>
        <w:outlineLvl w:val="1"/>
        <w:rPr>
          <w:rFonts w:ascii="Times New Roman" w:eastAsia="Times New Roman" w:hAnsi="Times New Roman" w:cs="Times New Roman"/>
          <w:b/>
          <w:bCs/>
          <w:sz w:val="28"/>
          <w:szCs w:val="28"/>
          <w:lang w:eastAsia="it-IT"/>
        </w:rPr>
      </w:pPr>
      <w:r w:rsidRPr="0031409F">
        <w:rPr>
          <w:rFonts w:ascii="Times New Roman" w:eastAsia="Times New Roman" w:hAnsi="Times New Roman" w:cs="Times New Roman"/>
          <w:b/>
          <w:bCs/>
          <w:sz w:val="28"/>
          <w:szCs w:val="28"/>
          <w:lang w:eastAsia="it-IT"/>
        </w:rPr>
        <w:t xml:space="preserve"> domanda dal 16 al 29 luglio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La fase provinciale si svolge nella provincia di inserimento in GPS. Le relative funzioni saranno disponibili </w:t>
      </w:r>
      <w:r w:rsidRPr="0031409F">
        <w:rPr>
          <w:rFonts w:ascii="Times New Roman" w:eastAsia="Times New Roman" w:hAnsi="Times New Roman" w:cs="Times New Roman"/>
          <w:b/>
          <w:bCs/>
          <w:color w:val="000000"/>
          <w:sz w:val="24"/>
          <w:szCs w:val="24"/>
          <w:lang w:eastAsia="it-IT"/>
        </w:rPr>
        <w:t>dalle ore 14.00 del 16 luglio alle ore 14.00 del 29 luglio 2026, </w:t>
      </w:r>
      <w:r w:rsidRPr="0031409F">
        <w:rPr>
          <w:rFonts w:ascii="Times New Roman" w:eastAsia="Times New Roman" w:hAnsi="Times New Roman" w:cs="Times New Roman"/>
          <w:color w:val="000000"/>
          <w:sz w:val="24"/>
          <w:szCs w:val="24"/>
          <w:lang w:eastAsia="it-IT"/>
        </w:rPr>
        <w:t>attraverso la medesima funzione prevista per il conferimento delle supplenze al 31 agosto e al 30 giugno.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 xml:space="preserve">La procedura si svolgerà interamente tramite sistema informativo. Gli Uffici scolastici regionali, prima dell’elaborazione degli incarichi a tempo determinato, inseriranno i posti disponibili per ciascuna scuola, distinti per tipologia di sostegno. Successivamente procederanno alla verifica delle </w:t>
      </w:r>
      <w:r w:rsidRPr="0031409F">
        <w:rPr>
          <w:rFonts w:ascii="Times New Roman" w:eastAsia="Times New Roman" w:hAnsi="Times New Roman" w:cs="Times New Roman"/>
          <w:color w:val="000000"/>
          <w:sz w:val="24"/>
          <w:szCs w:val="24"/>
          <w:lang w:eastAsia="it-IT"/>
        </w:rPr>
        <w:lastRenderedPageBreak/>
        <w:t>domande e all’assegnazione automatizzata degli aspiranti alle sedi, </w:t>
      </w:r>
      <w:r w:rsidRPr="0031409F">
        <w:rPr>
          <w:rFonts w:ascii="Times New Roman" w:eastAsia="Times New Roman" w:hAnsi="Times New Roman" w:cs="Times New Roman"/>
          <w:b/>
          <w:bCs/>
          <w:color w:val="000000"/>
          <w:sz w:val="24"/>
          <w:szCs w:val="24"/>
          <w:lang w:eastAsia="it-IT"/>
        </w:rPr>
        <w:t>sulla base della posizione in graduatoria e delle preferenze espresse.</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Qualora il candidato abbia indicato preferenze sintetiche, come comuni o distretti, le scuole saranno ordinate automaticamente secondo il codice meccanografico.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Una volta concluse le operazioni, gli esiti saranno pubblicati e comunicati direttamente agli interessati nell’area riservata.</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La presentazione dell’istanza costituisce condizione essenziale per partecipare alla procedura. Chi non presenta domanda </w:t>
      </w:r>
      <w:r w:rsidRPr="0031409F">
        <w:rPr>
          <w:rFonts w:ascii="Times New Roman" w:eastAsia="Times New Roman" w:hAnsi="Times New Roman" w:cs="Times New Roman"/>
          <w:b/>
          <w:bCs/>
          <w:color w:val="000000"/>
          <w:sz w:val="24"/>
          <w:szCs w:val="24"/>
          <w:u w:val="single"/>
          <w:lang w:eastAsia="it-IT"/>
        </w:rPr>
        <w:t>è automaticamente escluso</w:t>
      </w:r>
      <w:r w:rsidRPr="0031409F">
        <w:rPr>
          <w:rFonts w:ascii="Times New Roman" w:eastAsia="Times New Roman" w:hAnsi="Times New Roman" w:cs="Times New Roman"/>
          <w:color w:val="000000"/>
          <w:sz w:val="24"/>
          <w:szCs w:val="24"/>
          <w:lang w:eastAsia="it-IT"/>
        </w:rPr>
        <w:t>. La mancata indicazione di alcune sedi sarà considerata rinuncia limitatamente alle sedi non espresse.</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Uno degli aspetti più delicati riguarda gli effetti dell’assegnazione della sede. Nel momento in cui la procedura automatizzata assegna una scuola, il docente </w:t>
      </w:r>
      <w:r w:rsidRPr="0031409F">
        <w:rPr>
          <w:rFonts w:ascii="Times New Roman" w:eastAsia="Times New Roman" w:hAnsi="Times New Roman" w:cs="Times New Roman"/>
          <w:b/>
          <w:bCs/>
          <w:color w:val="000000"/>
          <w:sz w:val="24"/>
          <w:szCs w:val="24"/>
          <w:lang w:eastAsia="it-IT"/>
        </w:rPr>
        <w:t>ha al massimo cinque giorni per rispondere,</w:t>
      </w:r>
      <w:r w:rsidRPr="0031409F">
        <w:rPr>
          <w:rFonts w:ascii="Times New Roman" w:eastAsia="Times New Roman" w:hAnsi="Times New Roman" w:cs="Times New Roman"/>
          <w:color w:val="000000"/>
          <w:sz w:val="24"/>
          <w:szCs w:val="24"/>
          <w:lang w:eastAsia="it-IT"/>
        </w:rPr>
        <w:t> utilizzando l’apposita funzione indicata nel link presente nella comunicazione ricevuta. Qualora l’assegnazione intervenga a decorrere dal 28 agosto, l’accettazione dovrà comunque avvenire entro il 1° settembre. La mancata risposta nei termini equivale a rinuncia alla nomina e determina la decadenza dall’incarico conferito.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b/>
          <w:bCs/>
          <w:color w:val="000000"/>
          <w:sz w:val="24"/>
          <w:szCs w:val="24"/>
          <w:lang w:eastAsia="it-IT"/>
        </w:rPr>
        <w:t>Una volta assegnata la scuola, l’aspirante è escluso dalle altre procedure di supplenza per l’anno scolastico di riferimento.</w:t>
      </w:r>
      <w:r w:rsidRPr="0031409F">
        <w:rPr>
          <w:rFonts w:ascii="Times New Roman" w:eastAsia="Times New Roman" w:hAnsi="Times New Roman" w:cs="Times New Roman"/>
          <w:color w:val="000000"/>
          <w:sz w:val="24"/>
          <w:szCs w:val="24"/>
          <w:lang w:eastAsia="it-IT"/>
        </w:rPr>
        <w:t> L’esclusione riguarda gli incarichi al 31 agosto, quelli al 30 giugno, le supplenze brevi, gli interpelli e anche altre classi di concorso o tipologie di posto. L’effetto può riguardare anche le eventuali conferme su sostegno, se ne ricorrono i presupposti.</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In sostanza, una volta ricevuta l’assegnazione della sede, il docente può accettare oppure non accettare, ma in entrambi i casi </w:t>
      </w:r>
      <w:r w:rsidRPr="0031409F">
        <w:rPr>
          <w:rFonts w:ascii="Times New Roman" w:eastAsia="Times New Roman" w:hAnsi="Times New Roman" w:cs="Times New Roman"/>
          <w:b/>
          <w:bCs/>
          <w:color w:val="000000"/>
          <w:sz w:val="24"/>
          <w:szCs w:val="24"/>
          <w:lang w:eastAsia="it-IT"/>
        </w:rPr>
        <w:t>non potrà più accedere alle altre opportunità di supplenza per l’anno scolastico 2026/2027.</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Eventuali rinunce potranno essere coperte dagli Uffici tramite surroghe, ma soltanto prima dell’avvio della fase interprovinciale.</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Resta invece ferma la possibilità di partecipare alle successive procedure di conferimento delle supplenze per chi non presenta domanda oppure, pur partecipando, non ottiene alcun incarico sulle sedi richieste.</w:t>
      </w:r>
    </w:p>
    <w:p w:rsidR="0031409F" w:rsidRPr="0031409F" w:rsidRDefault="0031409F" w:rsidP="0031409F">
      <w:pPr>
        <w:shd w:val="clear" w:color="auto" w:fill="FFFFFF"/>
        <w:spacing w:before="450" w:after="300" w:line="570" w:lineRule="atLeast"/>
        <w:jc w:val="both"/>
        <w:outlineLvl w:val="1"/>
        <w:rPr>
          <w:rFonts w:ascii="Times New Roman" w:eastAsia="Times New Roman" w:hAnsi="Times New Roman" w:cs="Times New Roman"/>
          <w:b/>
          <w:bCs/>
          <w:sz w:val="28"/>
          <w:szCs w:val="28"/>
          <w:lang w:eastAsia="it-IT"/>
        </w:rPr>
      </w:pPr>
      <w:r w:rsidRPr="0031409F">
        <w:rPr>
          <w:rFonts w:ascii="Times New Roman" w:eastAsia="Times New Roman" w:hAnsi="Times New Roman" w:cs="Times New Roman"/>
          <w:b/>
          <w:bCs/>
          <w:color w:val="FF0000"/>
          <w:sz w:val="24"/>
          <w:szCs w:val="24"/>
          <w:lang w:eastAsia="it-IT"/>
        </w:rPr>
        <w:t xml:space="preserve"> </w:t>
      </w:r>
      <w:r w:rsidRPr="0031409F">
        <w:rPr>
          <w:rFonts w:ascii="Times New Roman" w:eastAsia="Times New Roman" w:hAnsi="Times New Roman" w:cs="Times New Roman"/>
          <w:b/>
          <w:bCs/>
          <w:sz w:val="28"/>
          <w:szCs w:val="28"/>
          <w:lang w:eastAsia="it-IT"/>
        </w:rPr>
        <w:t>– Fase interprovinciale: domande dal 14 al 18 agosto (c.d. Mini Call)</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Conclusa la fase provinciale, si aprirà la fase interprovinciale. Gli Uffici pubblicheranno sui propri siti le sedi rimaste vacanti, per ciascun grado di scuola, entro le ore 10.00 del 14 agosto 2026. Nello stesso giorno si aprirà la nuova finestra per la presentazione delle domande, </w:t>
      </w:r>
      <w:r w:rsidRPr="0031409F">
        <w:rPr>
          <w:rFonts w:ascii="Times New Roman" w:eastAsia="Times New Roman" w:hAnsi="Times New Roman" w:cs="Times New Roman"/>
          <w:b/>
          <w:bCs/>
          <w:color w:val="000000"/>
          <w:sz w:val="24"/>
          <w:szCs w:val="24"/>
          <w:lang w:eastAsia="it-IT"/>
        </w:rPr>
        <w:t>dalle ore 14.00 del 14 agosto alle ore 12.00 del 18 agosto</w:t>
      </w:r>
      <w:r w:rsidRPr="0031409F">
        <w:rPr>
          <w:rFonts w:ascii="Times New Roman" w:eastAsia="Times New Roman" w:hAnsi="Times New Roman" w:cs="Times New Roman"/>
          <w:color w:val="000000"/>
          <w:sz w:val="24"/>
          <w:szCs w:val="24"/>
          <w:lang w:eastAsia="it-IT"/>
        </w:rPr>
        <w:t>.</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Potranno partecipare </w:t>
      </w:r>
      <w:r w:rsidRPr="0031409F">
        <w:rPr>
          <w:rFonts w:ascii="Times New Roman" w:eastAsia="Times New Roman" w:hAnsi="Times New Roman" w:cs="Times New Roman"/>
          <w:b/>
          <w:bCs/>
          <w:color w:val="000000"/>
          <w:sz w:val="24"/>
          <w:szCs w:val="24"/>
          <w:u w:val="single"/>
          <w:lang w:eastAsia="it-IT"/>
        </w:rPr>
        <w:t>soltanto i docenti inseriti a pieno titolo</w:t>
      </w:r>
      <w:r w:rsidRPr="0031409F">
        <w:rPr>
          <w:rFonts w:ascii="Times New Roman" w:eastAsia="Times New Roman" w:hAnsi="Times New Roman" w:cs="Times New Roman"/>
          <w:color w:val="000000"/>
          <w:sz w:val="24"/>
          <w:szCs w:val="24"/>
          <w:lang w:eastAsia="it-IT"/>
        </w:rPr>
        <w:t> nella prima fascia GPS sostegno che abbiano già partecipato alla fase provinciale senza risultare destinatari di una proposta di incarico e senza essere considerati rinunciatari.</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lastRenderedPageBreak/>
        <w:t>Restano esclusi, quindi, coloro che non hanno partecipato alla fase provinciale, coloro che sono già stati soddisfatti e coloro che risultano rinunciatari.</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I docenti dovranno presentare una nuova domanda tramite il sistema informativo, indicando la provincia o le province, purché appartenenti alla stessa regione, anche diversa da quella di inserimento in GPS, e le tipologie di posto per le quali possiedono il titolo.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Dal momento in cui si apre la fase interprovinciale non saranno più possibili scorrimenti o surroghe sulle assegnazioni provinciali già effettuate.</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Il sistema elaborerà le domande e formerà, per ogni provincia e tipologia di posto, un elenco degli aspiranti basato sui dati delle GPS di origine. Successivamente si procederà all’assegnazione prima della provincia e poi della sede scolastica, sempre tramite procedura informatizzata.</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Anche nella fase interprovinciale, una volta assegnata la sede scolastica, il docente avrà al massimo cinque giorni per rispondere. La mancata risposta equivarrà a rinuncia e determinerà la decadenza dall’incarico conferito.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Tuttavia, per la mini call veloce assume </w:t>
      </w:r>
      <w:r w:rsidRPr="0031409F">
        <w:rPr>
          <w:rFonts w:ascii="Times New Roman" w:eastAsia="Times New Roman" w:hAnsi="Times New Roman" w:cs="Times New Roman"/>
          <w:b/>
          <w:bCs/>
          <w:color w:val="000000"/>
          <w:sz w:val="24"/>
          <w:szCs w:val="24"/>
          <w:u w:val="single"/>
          <w:lang w:eastAsia="it-IT"/>
        </w:rPr>
        <w:t>particolare rilievo l’assegnazione della provincia</w:t>
      </w:r>
      <w:r w:rsidRPr="0031409F">
        <w:rPr>
          <w:rFonts w:ascii="Times New Roman" w:eastAsia="Times New Roman" w:hAnsi="Times New Roman" w:cs="Times New Roman"/>
          <w:color w:val="000000"/>
          <w:sz w:val="24"/>
          <w:szCs w:val="24"/>
          <w:lang w:eastAsia="it-IT"/>
        </w:rPr>
        <w:t>. Secondo quanto illustrato, è proprio</w:t>
      </w:r>
      <w:r w:rsidRPr="0031409F">
        <w:rPr>
          <w:rFonts w:ascii="Times New Roman" w:eastAsia="Times New Roman" w:hAnsi="Times New Roman" w:cs="Times New Roman"/>
          <w:b/>
          <w:bCs/>
          <w:color w:val="000000"/>
          <w:sz w:val="24"/>
          <w:szCs w:val="24"/>
          <w:u w:val="single"/>
          <w:lang w:eastAsia="it-IT"/>
        </w:rPr>
        <w:t> l’assegnazione della provincia a determinare l’esclusione automatica da tutte le altre procedure di supplenza.</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Nel momento in cui il sistema informatizzato assegna una provincia, il docente </w:t>
      </w:r>
      <w:r w:rsidRPr="0031409F">
        <w:rPr>
          <w:rFonts w:ascii="Times New Roman" w:eastAsia="Times New Roman" w:hAnsi="Times New Roman" w:cs="Times New Roman"/>
          <w:b/>
          <w:bCs/>
          <w:color w:val="000000"/>
          <w:sz w:val="24"/>
          <w:szCs w:val="24"/>
          <w:lang w:eastAsia="it-IT"/>
        </w:rPr>
        <w:t>non potrà più partecipare agli incarichi al 31 agosto, al 30 giugno, alle supplenze brevi, agli interpelli,</w:t>
      </w:r>
      <w:r w:rsidRPr="0031409F">
        <w:rPr>
          <w:rFonts w:ascii="Times New Roman" w:eastAsia="Times New Roman" w:hAnsi="Times New Roman" w:cs="Times New Roman"/>
          <w:color w:val="000000"/>
          <w:sz w:val="24"/>
          <w:szCs w:val="24"/>
          <w:lang w:eastAsia="it-IT"/>
        </w:rPr>
        <w:t> né concorrere per altre classi di concorso o tipologie di posto. L’esclusione potrà riguardare anche le eventuali conferme su posto di sostegno, se ne ricorrono le condizioni.</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In concreto, dopo l’assegnazione della provincia, il docente potrà accettare o rinunciare alla provincia e, successivamente, accettare o rinunciare alla sede scolastica. Tuttavia, l’assegnazione della provincia comporterà comunque l’esclusione definitiva dalle altre opportunità di supplenza.</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Chi non presenta domanda per la fase interprovinciale oppure, pur partecipando, non ottiene alcuna provincia tra quelle richieste, manterrà invece la possibilità di partecipare alle successive procedure di conferimento delle supplenze.</w:t>
      </w:r>
    </w:p>
    <w:p w:rsidR="0031409F" w:rsidRPr="0031409F" w:rsidRDefault="0031409F" w:rsidP="0031409F">
      <w:pPr>
        <w:shd w:val="clear" w:color="auto" w:fill="FFFFFF"/>
        <w:spacing w:before="450" w:after="300" w:line="570" w:lineRule="atLeast"/>
        <w:jc w:val="both"/>
        <w:outlineLvl w:val="1"/>
        <w:rPr>
          <w:rFonts w:ascii="Times New Roman" w:eastAsia="Times New Roman" w:hAnsi="Times New Roman" w:cs="Times New Roman"/>
          <w:b/>
          <w:bCs/>
          <w:sz w:val="28"/>
          <w:szCs w:val="28"/>
          <w:lang w:eastAsia="it-IT"/>
        </w:rPr>
      </w:pPr>
      <w:r w:rsidRPr="0031409F">
        <w:rPr>
          <w:rFonts w:ascii="Times New Roman" w:eastAsia="Times New Roman" w:hAnsi="Times New Roman" w:cs="Times New Roman"/>
          <w:b/>
          <w:bCs/>
          <w:sz w:val="28"/>
          <w:szCs w:val="28"/>
          <w:lang w:eastAsia="it-IT"/>
        </w:rPr>
        <w:t>Conferme dei docenti a tempo determinato su posto di sostegno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La bozza disciplina anche la procedura di conferma dei docenti a tempo determinato su posto di sostegno per l’anno scolastico 2026/2027.</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Si tratta della procedura prevista dall’articolo 13 dell’Ordinanza Ministeriale n. 27 del 16 febbraio 2026, le cui modalità operative sono state già definite dalla nota ministeriale del 26 marzo 2026.</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Le operazioni di conferma potranno essere avviate soltanto dopo</w:t>
      </w:r>
      <w:r w:rsidRPr="0031409F">
        <w:rPr>
          <w:rFonts w:ascii="Times New Roman" w:eastAsia="Times New Roman" w:hAnsi="Times New Roman" w:cs="Times New Roman"/>
          <w:b/>
          <w:bCs/>
          <w:color w:val="000000"/>
          <w:sz w:val="24"/>
          <w:szCs w:val="24"/>
          <w:lang w:eastAsia="it-IT"/>
        </w:rPr>
        <w:t> la conclusione delle immissioni in ruolo, degli incarichi finalizzati al ruolo, delle utilizzazioni e delle assegnazioni provvisorie.</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lastRenderedPageBreak/>
        <w:t>I docenti a tempo determinato che possiedono i requisiti e per i quali il dirigente scolastico abbia concluso positivamente la verifica </w:t>
      </w:r>
      <w:r w:rsidRPr="0031409F">
        <w:rPr>
          <w:rFonts w:ascii="Times New Roman" w:eastAsia="Times New Roman" w:hAnsi="Times New Roman" w:cs="Times New Roman"/>
          <w:b/>
          <w:bCs/>
          <w:color w:val="000000"/>
          <w:sz w:val="24"/>
          <w:szCs w:val="24"/>
          <w:u w:val="single"/>
          <w:lang w:eastAsia="it-IT"/>
        </w:rPr>
        <w:t>dovranno esprimere la volontà di partecipare</w:t>
      </w:r>
      <w:r w:rsidRPr="0031409F">
        <w:rPr>
          <w:rFonts w:ascii="Times New Roman" w:eastAsia="Times New Roman" w:hAnsi="Times New Roman" w:cs="Times New Roman"/>
          <w:color w:val="000000"/>
          <w:sz w:val="24"/>
          <w:szCs w:val="24"/>
          <w:lang w:eastAsia="it-IT"/>
        </w:rPr>
        <w:t> alla procedura all’interno della stessa istanza su Istanze On Line utilizzata per le nomine.</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La volontà espressa sarà definitiva, vincolante e irrevocabile. Anche per questa procedura le funzioni saranno disponibili </w:t>
      </w:r>
      <w:r w:rsidRPr="0031409F">
        <w:rPr>
          <w:rFonts w:ascii="Times New Roman" w:eastAsia="Times New Roman" w:hAnsi="Times New Roman" w:cs="Times New Roman"/>
          <w:b/>
          <w:bCs/>
          <w:color w:val="000000"/>
          <w:sz w:val="24"/>
          <w:szCs w:val="24"/>
          <w:lang w:eastAsia="it-IT"/>
        </w:rPr>
        <w:t>dalle ore 14.00 del 16 luglio alle ore 14.00 del 29 luglio 2026.</w:t>
      </w:r>
    </w:p>
    <w:p w:rsidR="0031409F" w:rsidRPr="0031409F" w:rsidRDefault="0031409F" w:rsidP="0031409F">
      <w:pPr>
        <w:shd w:val="clear" w:color="auto" w:fill="FFFFFF"/>
        <w:spacing w:before="450" w:after="300" w:line="570" w:lineRule="atLeast"/>
        <w:jc w:val="both"/>
        <w:outlineLvl w:val="1"/>
        <w:rPr>
          <w:rFonts w:ascii="Times New Roman" w:eastAsia="Times New Roman" w:hAnsi="Times New Roman" w:cs="Times New Roman"/>
          <w:sz w:val="28"/>
          <w:szCs w:val="28"/>
          <w:lang w:eastAsia="it-IT"/>
        </w:rPr>
      </w:pPr>
      <w:r w:rsidRPr="0031409F">
        <w:rPr>
          <w:rFonts w:ascii="Times New Roman" w:eastAsia="Times New Roman" w:hAnsi="Times New Roman" w:cs="Times New Roman"/>
          <w:b/>
          <w:bCs/>
          <w:sz w:val="28"/>
          <w:szCs w:val="28"/>
          <w:lang w:eastAsia="it-IT"/>
        </w:rPr>
        <w:t>Supplenze al 31 agosto, al 30 giugno e supplenze brevi</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Le funzioni per la presentazione delle domande per gli incarichi al 31 agosto e al 30 giugno saranno disponibili dalle </w:t>
      </w:r>
      <w:r w:rsidRPr="0031409F">
        <w:rPr>
          <w:rFonts w:ascii="Times New Roman" w:eastAsia="Times New Roman" w:hAnsi="Times New Roman" w:cs="Times New Roman"/>
          <w:b/>
          <w:bCs/>
          <w:color w:val="000000"/>
          <w:sz w:val="24"/>
          <w:szCs w:val="24"/>
          <w:lang w:eastAsia="it-IT"/>
        </w:rPr>
        <w:t>ore 14.00 del 16 luglio alle ore 14.00 del 29 luglio 2026.</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Il conferimento delle supplenze annuali e fino al termine delle attività didattiche continuerà a seguire il consueto ordine: prima le GAE e, in caso di esaurimento o incapienza, le GPS. Se anche le GPS non risultano sufficienti, si procederà con le graduatorie di istituto, utilizzate direttamente dai dirigenti scolastici.</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Tra gli aspetti più rilevanti della bozza vi è il cosiddetto “ripescaggio” degli aspiranti che, in un determinato turno dell’algoritmo, non abbiano ricevuto alcuna nomina.</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Si tratta di un tema molto atteso, perché negli anni precedenti uno dei problemi maggiormente segnalati riguardava l’esclusione definitiva degli aspiranti non soddisfatti in un turno, anche in presenza di disponibilità successive derivanti da rinunce, rettifiche, nuove comunicazioni o ulteriori scorrimenti.</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La novità, se correttamente implementata, potrebbe attenuare una delle maggiori criticità del sistema informatizzato.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Resta però decisivo il piano operativo. Le organizzazioni sindacali </w:t>
      </w:r>
      <w:r w:rsidRPr="0031409F">
        <w:rPr>
          <w:rFonts w:ascii="Times New Roman" w:eastAsia="Times New Roman" w:hAnsi="Times New Roman" w:cs="Times New Roman"/>
          <w:b/>
          <w:bCs/>
          <w:color w:val="000000"/>
          <w:sz w:val="24"/>
          <w:szCs w:val="24"/>
          <w:lang w:eastAsia="it-IT"/>
        </w:rPr>
        <w:t>hanno chiesto un approfondimento specifico</w:t>
      </w:r>
      <w:r w:rsidRPr="0031409F">
        <w:rPr>
          <w:rFonts w:ascii="Times New Roman" w:eastAsia="Times New Roman" w:hAnsi="Times New Roman" w:cs="Times New Roman"/>
          <w:color w:val="000000"/>
          <w:sz w:val="24"/>
          <w:szCs w:val="24"/>
          <w:lang w:eastAsia="it-IT"/>
        </w:rPr>
        <w:t> con la direzione dei servizi informativi </w:t>
      </w:r>
      <w:r w:rsidRPr="0031409F">
        <w:rPr>
          <w:rFonts w:ascii="Times New Roman" w:eastAsia="Times New Roman" w:hAnsi="Times New Roman" w:cs="Times New Roman"/>
          <w:b/>
          <w:bCs/>
          <w:color w:val="000000"/>
          <w:sz w:val="24"/>
          <w:szCs w:val="24"/>
          <w:lang w:eastAsia="it-IT"/>
        </w:rPr>
        <w:t>per verificare concretamente il funzionamento del meccanismo.</w:t>
      </w:r>
      <w:r w:rsidRPr="0031409F">
        <w:rPr>
          <w:rFonts w:ascii="Times New Roman" w:eastAsia="Times New Roman" w:hAnsi="Times New Roman" w:cs="Times New Roman"/>
          <w:color w:val="000000"/>
          <w:sz w:val="24"/>
          <w:szCs w:val="24"/>
          <w:lang w:eastAsia="it-IT"/>
        </w:rPr>
        <w:t> Il ripescaggio dovrà essere tradotto in istruzioni chiare, verificabili e uniformi su tutto il territorio nazionale, evitando disparità di trattamento tra province e riducendo il rischio di contenzioso.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È stata inoltre richiesta la pubblicazione, contestualmente agli esiti di ciascun turno, del quadro delle disponibilità effettivamente utilizzate dall’algoritmo. Tale pubblicazione consentirebbe agli aspiranti e alle organizzazioni sindacali di verificare la correttezza delle operazioni.</w:t>
      </w:r>
    </w:p>
    <w:p w:rsidR="0031409F" w:rsidRPr="0031409F" w:rsidRDefault="0031409F" w:rsidP="0031409F">
      <w:pPr>
        <w:shd w:val="clear" w:color="auto" w:fill="FFFFFF"/>
        <w:spacing w:before="450" w:after="300" w:line="570" w:lineRule="atLeast"/>
        <w:jc w:val="both"/>
        <w:outlineLvl w:val="1"/>
        <w:rPr>
          <w:rFonts w:ascii="Times New Roman" w:eastAsia="Times New Roman" w:hAnsi="Times New Roman" w:cs="Times New Roman"/>
          <w:b/>
          <w:bCs/>
          <w:sz w:val="28"/>
          <w:szCs w:val="28"/>
          <w:lang w:eastAsia="it-IT"/>
        </w:rPr>
      </w:pPr>
      <w:r w:rsidRPr="0031409F">
        <w:rPr>
          <w:rFonts w:ascii="Times New Roman" w:eastAsia="Times New Roman" w:hAnsi="Times New Roman" w:cs="Times New Roman"/>
          <w:b/>
          <w:bCs/>
          <w:sz w:val="28"/>
          <w:szCs w:val="28"/>
          <w:lang w:eastAsia="it-IT"/>
        </w:rPr>
        <w:t>Graduatorie di istituto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Un’altra novità significativa riguarda il rapporto tra le nomine provinciali da GAE/GPS e le nomine da graduatorie di istituto.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lastRenderedPageBreak/>
        <w:t>Al termine di ogni turno di nomina, gli Uffici dovranno comunicare alle scuole, tramite apposito report del sistema informativo, per quali classi di concorso o tipologie di posto risultino esauriti gli aspiranti a livello provinciale. Nel report dovrà essere indicata anche la data presunta del successivo turno.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A partire da tale comunicazione, i dirigenti scolastici potranno procedere allo scorrimento delle graduatorie di istituto per le sole classi di concorso o tipologie di posto indicate dall’Ufficio, sia per le disponibilità già presenti sia per quelle sopravvenute.</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In questo modo le scuole </w:t>
      </w:r>
      <w:r w:rsidRPr="0031409F">
        <w:rPr>
          <w:rFonts w:ascii="Times New Roman" w:eastAsia="Times New Roman" w:hAnsi="Times New Roman" w:cs="Times New Roman"/>
          <w:b/>
          <w:bCs/>
          <w:color w:val="000000"/>
          <w:sz w:val="24"/>
          <w:szCs w:val="24"/>
          <w:lang w:eastAsia="it-IT"/>
        </w:rPr>
        <w:t>non dovranno attendere l’esaurimento generale delle GPS provinciali per tutte le classi di concorso. Potranno invece agire in maniera mirata, limitatamente agli insegnamenti per i quali sia stata comunicata l’assenza di aspiranti disponibili a livello provinciale.</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La gestione asincrona può rappresentare un miglioramento in termini di rapidità, ma richiede un elevato livello di coordinamento. Per questo è stata richiesta la predisposizione di indicazioni nazionali univoche e di una specifica attività informativa e formativa rivolta agli Uffici territoriali e alle segreterie scolastiche, al fine di evitare interpretazioni difformi.</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 xml:space="preserve">La bozza chiarisce inoltre che le graduatorie di istituto dovranno essere aggiornate e ripulite rispetto agli aspiranti che non abbiano presentato domanda di aggiornamento, trasferimento o permanenza per il biennio 2026/2028 e che non presentino l’istanza per il conferimento delle supplenze per </w:t>
      </w:r>
      <w:proofErr w:type="spellStart"/>
      <w:r w:rsidRPr="0031409F">
        <w:rPr>
          <w:rFonts w:ascii="Times New Roman" w:eastAsia="Times New Roman" w:hAnsi="Times New Roman" w:cs="Times New Roman"/>
          <w:color w:val="000000"/>
          <w:sz w:val="24"/>
          <w:szCs w:val="24"/>
          <w:lang w:eastAsia="it-IT"/>
        </w:rPr>
        <w:t>l’a.s.</w:t>
      </w:r>
      <w:proofErr w:type="spellEnd"/>
      <w:r w:rsidRPr="0031409F">
        <w:rPr>
          <w:rFonts w:ascii="Times New Roman" w:eastAsia="Times New Roman" w:hAnsi="Times New Roman" w:cs="Times New Roman"/>
          <w:color w:val="000000"/>
          <w:sz w:val="24"/>
          <w:szCs w:val="24"/>
          <w:lang w:eastAsia="it-IT"/>
        </w:rPr>
        <w:t xml:space="preserve"> 2026/2027. Tali aspiranti saranno esclusi dalle GPS e dalle correlate graduatorie di istituto per l’intero periodo di vigenza.</w:t>
      </w:r>
    </w:p>
    <w:p w:rsidR="0031409F" w:rsidRPr="0031409F" w:rsidRDefault="0031409F" w:rsidP="0031409F">
      <w:pPr>
        <w:shd w:val="clear" w:color="auto" w:fill="FFFFFF"/>
        <w:spacing w:before="450" w:after="300" w:line="570" w:lineRule="atLeast"/>
        <w:jc w:val="both"/>
        <w:outlineLvl w:val="1"/>
        <w:rPr>
          <w:rFonts w:ascii="Times New Roman" w:eastAsia="Times New Roman" w:hAnsi="Times New Roman" w:cs="Times New Roman"/>
          <w:color w:val="DD3333"/>
          <w:sz w:val="24"/>
          <w:szCs w:val="24"/>
          <w:lang w:eastAsia="it-IT"/>
        </w:rPr>
      </w:pPr>
      <w:r w:rsidRPr="0031409F">
        <w:rPr>
          <w:rFonts w:ascii="Times New Roman" w:eastAsia="Times New Roman" w:hAnsi="Times New Roman" w:cs="Times New Roman"/>
          <w:b/>
          <w:bCs/>
          <w:color w:val="FF0000"/>
          <w:sz w:val="24"/>
          <w:szCs w:val="24"/>
          <w:lang w:eastAsia="it-IT"/>
        </w:rPr>
        <w:t xml:space="preserve">Interpelli: </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 xml:space="preserve">La bozza interviene anche sulla procedura degli interpelli. Prima di pubblicare un interpello, la scuola dovrà verificare l’assenza di candidati convocabili nella propria graduatoria di istituto. Inoltre, tramite una nuova funzionalità tecnica del SIDI, dovrà consultare le graduatorie delle altre scuole della provincia secondo l’ordine di </w:t>
      </w:r>
      <w:proofErr w:type="spellStart"/>
      <w:r w:rsidRPr="0031409F">
        <w:rPr>
          <w:rFonts w:ascii="Times New Roman" w:eastAsia="Times New Roman" w:hAnsi="Times New Roman" w:cs="Times New Roman"/>
          <w:color w:val="000000"/>
          <w:sz w:val="24"/>
          <w:szCs w:val="24"/>
          <w:lang w:eastAsia="it-IT"/>
        </w:rPr>
        <w:t>viciniorità</w:t>
      </w:r>
      <w:proofErr w:type="spellEnd"/>
      <w:r w:rsidRPr="0031409F">
        <w:rPr>
          <w:rFonts w:ascii="Times New Roman" w:eastAsia="Times New Roman" w:hAnsi="Times New Roman" w:cs="Times New Roman"/>
          <w:color w:val="000000"/>
          <w:sz w:val="24"/>
          <w:szCs w:val="24"/>
          <w:lang w:eastAsia="it-IT"/>
        </w:rPr>
        <w:t>.</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Solo dopo l’esaurimento della graduatoria di istituto della scuola interessata e delle graduatorie delle scuole viciniori, il dirigente scolastico potrà procedere alla pubblicazione dell’interpello.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La</w:t>
      </w:r>
      <w:r w:rsidRPr="0031409F">
        <w:rPr>
          <w:rFonts w:ascii="Times New Roman" w:eastAsia="Times New Roman" w:hAnsi="Times New Roman" w:cs="Times New Roman"/>
          <w:b/>
          <w:bCs/>
          <w:color w:val="000000"/>
          <w:sz w:val="24"/>
          <w:szCs w:val="24"/>
          <w:lang w:eastAsia="it-IT"/>
        </w:rPr>
        <w:t> finalità è evitare il ricorso immediato e non governato agli interpelli,</w:t>
      </w:r>
      <w:r w:rsidRPr="0031409F">
        <w:rPr>
          <w:rFonts w:ascii="Times New Roman" w:eastAsia="Times New Roman" w:hAnsi="Times New Roman" w:cs="Times New Roman"/>
          <w:color w:val="000000"/>
          <w:sz w:val="24"/>
          <w:szCs w:val="24"/>
          <w:lang w:eastAsia="it-IT"/>
        </w:rPr>
        <w:t> rafforzando il principio di utilizzo ordinato delle graduatorie disponibili.</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Gli avvisi dovranno contenere alcuni elementi essenziali: data di inizio della supplenza, durata, orario, sede, titoli richiesti, modalità e termini di candidatura, modalità di riscontro e presa di servizio, richiamo alle sanzioni e informativa privacy.</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È stata inoltre chiesta particolare attenzione ai criteri da utilizzare nell’eventuale ricorso a candidati privi del titolo ordinariamente richiesto. Tali criteri dovranno essere preventivi, trasparenti, oggettivi e pubblicati.</w:t>
      </w:r>
    </w:p>
    <w:p w:rsidR="0031409F" w:rsidRPr="0031409F" w:rsidRDefault="0031409F" w:rsidP="0031409F">
      <w:pPr>
        <w:shd w:val="clear" w:color="auto" w:fill="FFFFFF"/>
        <w:spacing w:before="450" w:after="300" w:line="570" w:lineRule="atLeast"/>
        <w:jc w:val="both"/>
        <w:outlineLvl w:val="1"/>
        <w:rPr>
          <w:rFonts w:ascii="Times New Roman" w:eastAsia="Times New Roman" w:hAnsi="Times New Roman" w:cs="Times New Roman"/>
          <w:b/>
          <w:bCs/>
          <w:sz w:val="28"/>
          <w:szCs w:val="28"/>
          <w:lang w:eastAsia="it-IT"/>
        </w:rPr>
      </w:pPr>
      <w:r w:rsidRPr="0031409F">
        <w:rPr>
          <w:rFonts w:ascii="Times New Roman" w:eastAsia="Times New Roman" w:hAnsi="Times New Roman" w:cs="Times New Roman"/>
          <w:b/>
          <w:bCs/>
          <w:sz w:val="28"/>
          <w:szCs w:val="28"/>
          <w:lang w:eastAsia="it-IT"/>
        </w:rPr>
        <w:lastRenderedPageBreak/>
        <w:t>Spezzoni, posti orario e ore pari o inferiori a sei</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 xml:space="preserve">La bozza dedica spazio anche alla gestione degli spezzoni e dei posti orario. È prevista l’aggregazione territoriale delle disponibilità orarie che non costituiscono posto intero o cattedra, sulla base di criteri </w:t>
      </w:r>
      <w:bookmarkStart w:id="0" w:name="_GoBack"/>
      <w:bookmarkEnd w:id="0"/>
      <w:r w:rsidRPr="0031409F">
        <w:rPr>
          <w:rFonts w:ascii="Times New Roman" w:eastAsia="Times New Roman" w:hAnsi="Times New Roman" w:cs="Times New Roman"/>
          <w:color w:val="000000"/>
          <w:sz w:val="24"/>
          <w:szCs w:val="24"/>
          <w:lang w:eastAsia="it-IT"/>
        </w:rPr>
        <w:t>analoghi a quelli utilizzati per la costituzione delle cattedre orario esterne nella scuola secondaria.</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Gli Uffici dovranno determinare le catene di associabilità, privilegiando la formazione di posti interi, cattedre o aggregazioni con la maggiore consistenza oraria possibile.</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In linea generale, gli spezzoni dovranno essere aggregati senza procedere a frazionamenti artificiosi. Ad esempio, uno spezzone di 11 ore e uno di 8 ore non dovrebbe essere scomposto per generare combinazioni differenti.</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Dovranno inoltre essere rispettati i limiti ordinari relativi alla costituzione delle cattedre orario esterne, con particolare riferimento al numero massimo di sedi e comuni e all’individuazione della sede principale competente per la gestione del rapporto di lavoro.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Per i docenti di ruolo che partecipano alle procedure di conferimento delle supplenze ai sensi del CCNL, l’Amministrazione ha chiarito </w:t>
      </w:r>
      <w:r w:rsidRPr="0031409F">
        <w:rPr>
          <w:rFonts w:ascii="Times New Roman" w:eastAsia="Times New Roman" w:hAnsi="Times New Roman" w:cs="Times New Roman"/>
          <w:b/>
          <w:bCs/>
          <w:color w:val="000000"/>
          <w:sz w:val="24"/>
          <w:szCs w:val="24"/>
          <w:lang w:eastAsia="it-IT"/>
        </w:rPr>
        <w:t>che sarà inibita a sistema la possibilità di inserire tra le preferenze gli spezzoni orari.</w:t>
      </w:r>
      <w:r w:rsidRPr="0031409F">
        <w:rPr>
          <w:rFonts w:ascii="Times New Roman" w:eastAsia="Times New Roman" w:hAnsi="Times New Roman" w:cs="Times New Roman"/>
          <w:color w:val="000000"/>
          <w:sz w:val="24"/>
          <w:szCs w:val="24"/>
          <w:lang w:eastAsia="it-IT"/>
        </w:rPr>
        <w:t> Tali aspiranti </w:t>
      </w:r>
      <w:r w:rsidRPr="0031409F">
        <w:rPr>
          <w:rFonts w:ascii="Times New Roman" w:eastAsia="Times New Roman" w:hAnsi="Times New Roman" w:cs="Times New Roman"/>
          <w:b/>
          <w:bCs/>
          <w:color w:val="000000"/>
          <w:sz w:val="24"/>
          <w:szCs w:val="24"/>
          <w:lang w:eastAsia="it-IT"/>
        </w:rPr>
        <w:t>potranno indicare esclusivamente posti interi,</w:t>
      </w:r>
      <w:r w:rsidRPr="0031409F">
        <w:rPr>
          <w:rFonts w:ascii="Times New Roman" w:eastAsia="Times New Roman" w:hAnsi="Times New Roman" w:cs="Times New Roman"/>
          <w:color w:val="000000"/>
          <w:sz w:val="24"/>
          <w:szCs w:val="24"/>
          <w:lang w:eastAsia="it-IT"/>
        </w:rPr>
        <w:t> in coerenza con il vincolo contrattuale che consente l’accettazione di rapporti a tempo determinato solo su posto intero e per incarichi di durata non inferiore al 30 giugno o al 31 agosto.</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Per le ore pari o inferiori a sei ore settimanali nella scuola secondaria, la circolare richiama la disciplina dell’articolo 22, comma 4, della legge n. 448/2001 e dell’Ordinanza ministeriale. Prima della determinazione dei posti orario da parte dell’Ufficio, il dirigente scolastico dovrà verificare la disponibilità dei docenti interni aventi titolo, fino al limite di 24 ore settimanali, e comunicare all’Ufficio gli spezzoni non assegnati per l’eventuale aggregazione.</w:t>
      </w:r>
    </w:p>
    <w:p w:rsidR="0031409F" w:rsidRPr="0031409F" w:rsidRDefault="0031409F" w:rsidP="0031409F">
      <w:pPr>
        <w:shd w:val="clear" w:color="auto" w:fill="FFFFFF"/>
        <w:spacing w:before="450" w:after="300" w:line="570" w:lineRule="atLeast"/>
        <w:jc w:val="both"/>
        <w:outlineLvl w:val="1"/>
        <w:rPr>
          <w:rFonts w:ascii="Times New Roman" w:eastAsia="Times New Roman" w:hAnsi="Times New Roman" w:cs="Times New Roman"/>
          <w:b/>
          <w:bCs/>
          <w:sz w:val="28"/>
          <w:szCs w:val="28"/>
          <w:lang w:eastAsia="it-IT"/>
        </w:rPr>
      </w:pPr>
      <w:r w:rsidRPr="0031409F">
        <w:rPr>
          <w:rFonts w:ascii="Times New Roman" w:eastAsia="Times New Roman" w:hAnsi="Times New Roman" w:cs="Times New Roman"/>
          <w:b/>
          <w:bCs/>
          <w:sz w:val="28"/>
          <w:szCs w:val="28"/>
          <w:lang w:eastAsia="it-IT"/>
        </w:rPr>
        <w:t xml:space="preserve">Completamento orario: </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Nel corso del confronto le organizzazioni sindacali hanno evidenziato la necessità di esplicitare meglio la disciplina del completamento orario alla luce delle novità introdotte dalla nuova Ordinanza.</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In particolare, è stato chiesto un chiarimento per le supplenze brevi da graduatorie di istituto, dove risulta ora possibile il completamento </w:t>
      </w:r>
      <w:r w:rsidRPr="0031409F">
        <w:rPr>
          <w:rFonts w:ascii="Times New Roman" w:eastAsia="Times New Roman" w:hAnsi="Times New Roman" w:cs="Times New Roman"/>
          <w:b/>
          <w:bCs/>
          <w:color w:val="000000"/>
          <w:sz w:val="24"/>
          <w:szCs w:val="24"/>
          <w:lang w:eastAsia="it-IT"/>
        </w:rPr>
        <w:t>anche con frazionamento del posto intero </w:t>
      </w:r>
      <w:r w:rsidRPr="0031409F">
        <w:rPr>
          <w:rFonts w:ascii="Times New Roman" w:eastAsia="Times New Roman" w:hAnsi="Times New Roman" w:cs="Times New Roman"/>
          <w:color w:val="000000"/>
          <w:sz w:val="24"/>
          <w:szCs w:val="24"/>
          <w:lang w:eastAsia="it-IT"/>
        </w:rPr>
        <w:t>(possibilità non prevista dalla precedente ordinanza)</w:t>
      </w:r>
      <w:r w:rsidRPr="0031409F">
        <w:rPr>
          <w:rFonts w:ascii="Times New Roman" w:eastAsia="Times New Roman" w:hAnsi="Times New Roman" w:cs="Times New Roman"/>
          <w:b/>
          <w:bCs/>
          <w:color w:val="000000"/>
          <w:sz w:val="24"/>
          <w:szCs w:val="24"/>
          <w:lang w:eastAsia="it-IT"/>
        </w:rPr>
        <w:t>,</w:t>
      </w:r>
      <w:r w:rsidRPr="0031409F">
        <w:rPr>
          <w:rFonts w:ascii="Times New Roman" w:eastAsia="Times New Roman" w:hAnsi="Times New Roman" w:cs="Times New Roman"/>
          <w:color w:val="000000"/>
          <w:sz w:val="24"/>
          <w:szCs w:val="24"/>
          <w:lang w:eastAsia="it-IT"/>
        </w:rPr>
        <w:t> nel rispetto dell’unicità dell’insegnamento, posto comune o sostegno, e della compatibilità oraria.</w:t>
      </w:r>
    </w:p>
    <w:p w:rsidR="0031409F" w:rsidRPr="0031409F" w:rsidRDefault="0031409F" w:rsidP="0031409F">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31409F">
        <w:rPr>
          <w:rFonts w:ascii="Times New Roman" w:eastAsia="Times New Roman" w:hAnsi="Times New Roman" w:cs="Times New Roman"/>
          <w:color w:val="000000"/>
          <w:sz w:val="24"/>
          <w:szCs w:val="24"/>
          <w:lang w:eastAsia="it-IT"/>
        </w:rPr>
        <w:t>Si tratta di un punto operativo particolarmente importante per le scuole, che dovranno applicare criteri uniformi nella gestione delle disponibilità e dei completamenti.</w:t>
      </w:r>
    </w:p>
    <w:sectPr w:rsidR="0031409F" w:rsidRPr="0031409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B779D7"/>
    <w:multiLevelType w:val="multilevel"/>
    <w:tmpl w:val="0F30F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09F"/>
    <w:rsid w:val="0031409F"/>
    <w:rsid w:val="00AD44B1"/>
    <w:rsid w:val="00B748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2B6B8"/>
  <w15:chartTrackingRefBased/>
  <w15:docId w15:val="{BE033B50-EAEC-49B6-B230-E11F5102C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1431697">
      <w:bodyDiv w:val="1"/>
      <w:marLeft w:val="0"/>
      <w:marRight w:val="0"/>
      <w:marTop w:val="0"/>
      <w:marBottom w:val="0"/>
      <w:divBdr>
        <w:top w:val="none" w:sz="0" w:space="0" w:color="auto"/>
        <w:left w:val="none" w:sz="0" w:space="0" w:color="auto"/>
        <w:bottom w:val="none" w:sz="0" w:space="0" w:color="auto"/>
        <w:right w:val="none" w:sz="0" w:space="0" w:color="auto"/>
      </w:divBdr>
      <w:divsChild>
        <w:div w:id="1305308498">
          <w:marLeft w:val="0"/>
          <w:marRight w:val="0"/>
          <w:marTop w:val="0"/>
          <w:marBottom w:val="285"/>
          <w:divBdr>
            <w:top w:val="none" w:sz="0" w:space="0" w:color="auto"/>
            <w:left w:val="none" w:sz="0" w:space="0" w:color="auto"/>
            <w:bottom w:val="none" w:sz="0" w:space="0" w:color="auto"/>
            <w:right w:val="none" w:sz="0" w:space="0" w:color="auto"/>
          </w:divBdr>
          <w:divsChild>
            <w:div w:id="1230648082">
              <w:marLeft w:val="0"/>
              <w:marRight w:val="0"/>
              <w:marTop w:val="0"/>
              <w:marBottom w:val="0"/>
              <w:divBdr>
                <w:top w:val="none" w:sz="0" w:space="0" w:color="auto"/>
                <w:left w:val="none" w:sz="0" w:space="0" w:color="auto"/>
                <w:bottom w:val="none" w:sz="0" w:space="0" w:color="auto"/>
                <w:right w:val="none" w:sz="0" w:space="0" w:color="auto"/>
              </w:divBdr>
            </w:div>
          </w:divsChild>
        </w:div>
        <w:div w:id="10299865">
          <w:marLeft w:val="0"/>
          <w:marRight w:val="0"/>
          <w:marTop w:val="0"/>
          <w:marBottom w:val="240"/>
          <w:divBdr>
            <w:top w:val="none" w:sz="0" w:space="0" w:color="auto"/>
            <w:left w:val="none" w:sz="0" w:space="0" w:color="auto"/>
            <w:bottom w:val="none" w:sz="0" w:space="0" w:color="auto"/>
            <w:right w:val="none" w:sz="0" w:space="0" w:color="auto"/>
          </w:divBdr>
          <w:divsChild>
            <w:div w:id="312611107">
              <w:marLeft w:val="0"/>
              <w:marRight w:val="0"/>
              <w:marTop w:val="0"/>
              <w:marBottom w:val="0"/>
              <w:divBdr>
                <w:top w:val="none" w:sz="0" w:space="0" w:color="auto"/>
                <w:left w:val="none" w:sz="0" w:space="0" w:color="auto"/>
                <w:bottom w:val="none" w:sz="0" w:space="0" w:color="auto"/>
                <w:right w:val="none" w:sz="0" w:space="0" w:color="auto"/>
              </w:divBdr>
            </w:div>
          </w:divsChild>
        </w:div>
        <w:div w:id="459500221">
          <w:marLeft w:val="0"/>
          <w:marRight w:val="0"/>
          <w:marTop w:val="0"/>
          <w:marBottom w:val="240"/>
          <w:divBdr>
            <w:top w:val="none" w:sz="0" w:space="0" w:color="auto"/>
            <w:left w:val="none" w:sz="0" w:space="0" w:color="auto"/>
            <w:bottom w:val="none" w:sz="0" w:space="0" w:color="auto"/>
            <w:right w:val="none" w:sz="0" w:space="0" w:color="auto"/>
          </w:divBdr>
          <w:divsChild>
            <w:div w:id="2120758340">
              <w:marLeft w:val="0"/>
              <w:marRight w:val="0"/>
              <w:marTop w:val="0"/>
              <w:marBottom w:val="0"/>
              <w:divBdr>
                <w:top w:val="none" w:sz="0" w:space="0" w:color="auto"/>
                <w:left w:val="none" w:sz="0" w:space="0" w:color="auto"/>
                <w:bottom w:val="none" w:sz="0" w:space="0" w:color="auto"/>
                <w:right w:val="none" w:sz="0" w:space="0" w:color="auto"/>
              </w:divBdr>
            </w:div>
          </w:divsChild>
        </w:div>
        <w:div w:id="2143423980">
          <w:marLeft w:val="0"/>
          <w:marRight w:val="0"/>
          <w:marTop w:val="0"/>
          <w:marBottom w:val="345"/>
          <w:divBdr>
            <w:top w:val="none" w:sz="0" w:space="0" w:color="auto"/>
            <w:left w:val="none" w:sz="0" w:space="0" w:color="auto"/>
            <w:bottom w:val="none" w:sz="0" w:space="0" w:color="auto"/>
            <w:right w:val="none" w:sz="0" w:space="0" w:color="auto"/>
          </w:divBdr>
          <w:divsChild>
            <w:div w:id="939528280">
              <w:marLeft w:val="-45"/>
              <w:marRight w:val="-45"/>
              <w:marTop w:val="0"/>
              <w:marBottom w:val="0"/>
              <w:divBdr>
                <w:top w:val="none" w:sz="0" w:space="0" w:color="auto"/>
                <w:left w:val="none" w:sz="0" w:space="0" w:color="auto"/>
                <w:bottom w:val="none" w:sz="0" w:space="0" w:color="auto"/>
                <w:right w:val="none" w:sz="0" w:space="0" w:color="auto"/>
              </w:divBdr>
              <w:divsChild>
                <w:div w:id="582685065">
                  <w:marLeft w:val="0"/>
                  <w:marRight w:val="0"/>
                  <w:marTop w:val="0"/>
                  <w:marBottom w:val="0"/>
                  <w:divBdr>
                    <w:top w:val="none" w:sz="0" w:space="0" w:color="auto"/>
                    <w:left w:val="none" w:sz="0" w:space="0" w:color="auto"/>
                    <w:bottom w:val="none" w:sz="0" w:space="0" w:color="auto"/>
                    <w:right w:val="none" w:sz="0" w:space="0" w:color="auto"/>
                  </w:divBdr>
                  <w:divsChild>
                    <w:div w:id="886646686">
                      <w:marLeft w:val="45"/>
                      <w:marRight w:val="270"/>
                      <w:marTop w:val="0"/>
                      <w:marBottom w:val="105"/>
                      <w:divBdr>
                        <w:top w:val="single" w:sz="6" w:space="0" w:color="E9E9E9"/>
                        <w:left w:val="single" w:sz="6" w:space="0" w:color="E9E9E9"/>
                        <w:bottom w:val="single" w:sz="6" w:space="0" w:color="E9E9E9"/>
                        <w:right w:val="single" w:sz="6" w:space="0" w:color="E9E9E9"/>
                      </w:divBdr>
                      <w:divsChild>
                        <w:div w:id="1893686133">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848101">
          <w:marLeft w:val="0"/>
          <w:marRight w:val="0"/>
          <w:marTop w:val="0"/>
          <w:marBottom w:val="390"/>
          <w:divBdr>
            <w:top w:val="none" w:sz="0" w:space="0" w:color="auto"/>
            <w:left w:val="none" w:sz="0" w:space="0" w:color="auto"/>
            <w:bottom w:val="none" w:sz="0" w:space="0" w:color="auto"/>
            <w:right w:val="none" w:sz="0" w:space="0" w:color="auto"/>
          </w:divBdr>
          <w:divsChild>
            <w:div w:id="1935287754">
              <w:marLeft w:val="0"/>
              <w:marRight w:val="0"/>
              <w:marTop w:val="0"/>
              <w:marBottom w:val="0"/>
              <w:divBdr>
                <w:top w:val="none" w:sz="0" w:space="0" w:color="auto"/>
                <w:left w:val="none" w:sz="0" w:space="0" w:color="auto"/>
                <w:bottom w:val="none" w:sz="0" w:space="0" w:color="auto"/>
                <w:right w:val="none" w:sz="0" w:space="0" w:color="auto"/>
              </w:divBdr>
            </w:div>
          </w:divsChild>
        </w:div>
        <w:div w:id="2132548024">
          <w:marLeft w:val="0"/>
          <w:marRight w:val="0"/>
          <w:marTop w:val="315"/>
          <w:marBottom w:val="0"/>
          <w:divBdr>
            <w:top w:val="none" w:sz="0" w:space="0" w:color="auto"/>
            <w:left w:val="none" w:sz="0" w:space="0" w:color="auto"/>
            <w:bottom w:val="none" w:sz="0" w:space="0" w:color="auto"/>
            <w:right w:val="none" w:sz="0" w:space="0" w:color="auto"/>
          </w:divBdr>
          <w:divsChild>
            <w:div w:id="1844390785">
              <w:marLeft w:val="0"/>
              <w:marRight w:val="0"/>
              <w:marTop w:val="0"/>
              <w:marBottom w:val="0"/>
              <w:divBdr>
                <w:top w:val="none" w:sz="0" w:space="0" w:color="auto"/>
                <w:left w:val="none" w:sz="0" w:space="0" w:color="auto"/>
                <w:bottom w:val="none" w:sz="0" w:space="0" w:color="auto"/>
                <w:right w:val="none" w:sz="0" w:space="0" w:color="auto"/>
              </w:divBdr>
              <w:divsChild>
                <w:div w:id="821704045">
                  <w:marLeft w:val="0"/>
                  <w:marRight w:val="0"/>
                  <w:marTop w:val="0"/>
                  <w:marBottom w:val="0"/>
                  <w:divBdr>
                    <w:top w:val="none" w:sz="0" w:space="0" w:color="auto"/>
                    <w:left w:val="none" w:sz="0" w:space="0" w:color="auto"/>
                    <w:bottom w:val="none" w:sz="0" w:space="0" w:color="auto"/>
                    <w:right w:val="none" w:sz="0" w:space="0" w:color="auto"/>
                  </w:divBdr>
                  <w:divsChild>
                    <w:div w:id="1977449979">
                      <w:marLeft w:val="0"/>
                      <w:marRight w:val="0"/>
                      <w:marTop w:val="0"/>
                      <w:marBottom w:val="0"/>
                      <w:divBdr>
                        <w:top w:val="none" w:sz="0" w:space="0" w:color="auto"/>
                        <w:left w:val="none" w:sz="0" w:space="0" w:color="auto"/>
                        <w:bottom w:val="none" w:sz="0" w:space="0" w:color="auto"/>
                        <w:right w:val="none" w:sz="0" w:space="0" w:color="auto"/>
                      </w:divBdr>
                      <w:divsChild>
                        <w:div w:id="1745950001">
                          <w:marLeft w:val="0"/>
                          <w:marRight w:val="0"/>
                          <w:marTop w:val="0"/>
                          <w:marBottom w:val="0"/>
                          <w:divBdr>
                            <w:top w:val="none" w:sz="0" w:space="0" w:color="auto"/>
                            <w:left w:val="none" w:sz="0" w:space="0" w:color="auto"/>
                            <w:bottom w:val="none" w:sz="0" w:space="0" w:color="auto"/>
                            <w:right w:val="none" w:sz="0" w:space="0" w:color="auto"/>
                          </w:divBdr>
                          <w:divsChild>
                            <w:div w:id="559092533">
                              <w:marLeft w:val="0"/>
                              <w:marRight w:val="0"/>
                              <w:marTop w:val="0"/>
                              <w:marBottom w:val="0"/>
                              <w:divBdr>
                                <w:top w:val="none" w:sz="0" w:space="0" w:color="auto"/>
                                <w:left w:val="none" w:sz="0" w:space="0" w:color="auto"/>
                                <w:bottom w:val="none" w:sz="0" w:space="0" w:color="auto"/>
                                <w:right w:val="none" w:sz="0" w:space="0" w:color="auto"/>
                              </w:divBdr>
                              <w:divsChild>
                                <w:div w:id="1857385364">
                                  <w:marLeft w:val="0"/>
                                  <w:marRight w:val="0"/>
                                  <w:marTop w:val="0"/>
                                  <w:marBottom w:val="0"/>
                                  <w:divBdr>
                                    <w:top w:val="none" w:sz="0" w:space="0" w:color="auto"/>
                                    <w:left w:val="none" w:sz="0" w:space="0" w:color="auto"/>
                                    <w:bottom w:val="none" w:sz="0" w:space="0" w:color="auto"/>
                                    <w:right w:val="none" w:sz="0" w:space="0" w:color="auto"/>
                                  </w:divBdr>
                                  <w:divsChild>
                                    <w:div w:id="18258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2703</Words>
  <Characters>15413</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2026-05-01T16:32:00Z</dcterms:created>
  <dcterms:modified xsi:type="dcterms:W3CDTF">2026-05-01T16:49:00Z</dcterms:modified>
</cp:coreProperties>
</file>