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836B0" w:rsidRPr="00D836B0" w:rsidRDefault="00D836B0" w:rsidP="00D836B0">
      <w:pPr>
        <w:spacing w:after="150" w:line="240" w:lineRule="auto"/>
        <w:jc w:val="both"/>
        <w:outlineLvl w:val="0"/>
        <w:rPr>
          <w:rFonts w:ascii="Times New Roman" w:eastAsia="Times New Roman" w:hAnsi="Times New Roman" w:cs="Times New Roman"/>
          <w:b/>
          <w:bCs/>
          <w:color w:val="000000"/>
          <w:kern w:val="36"/>
          <w:sz w:val="24"/>
          <w:szCs w:val="24"/>
          <w:lang w:eastAsia="it-IT"/>
        </w:rPr>
      </w:pPr>
      <w:r w:rsidRPr="00D836B0">
        <w:rPr>
          <w:rFonts w:ascii="Times New Roman" w:eastAsia="Times New Roman" w:hAnsi="Times New Roman" w:cs="Times New Roman"/>
          <w:b/>
          <w:bCs/>
          <w:color w:val="000000"/>
          <w:kern w:val="36"/>
          <w:sz w:val="24"/>
          <w:szCs w:val="24"/>
          <w:lang w:eastAsia="it-IT"/>
        </w:rPr>
        <w:t>La disciplina delle assenze per malattia</w:t>
      </w:r>
      <w:r>
        <w:rPr>
          <w:rFonts w:ascii="Times New Roman" w:eastAsia="Times New Roman" w:hAnsi="Times New Roman" w:cs="Times New Roman"/>
          <w:b/>
          <w:bCs/>
          <w:color w:val="000000"/>
          <w:kern w:val="36"/>
          <w:sz w:val="24"/>
          <w:szCs w:val="24"/>
          <w:lang w:eastAsia="it-IT"/>
        </w:rPr>
        <w:t xml:space="preserve"> personale della scuola.</w:t>
      </w:r>
    </w:p>
    <w:p w:rsid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La disciplina delle assenze per malattia nel comparto scuola è regolata dai Contratti Collettivi Nazionali di Lavoro (CCNL), i quali stabiliscono diritti e doveri differenti per il personale a tempo indeterminato (di ruolo) e per quello a tempo determinato (non di ruolo), sia per i docenti che per il personale ATA. Di seguito si fornisce un’analisi dettagliata basata sulle fonti fornite.</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1. Durata Massima delle Assenze per Malattia (Periodo di Comporto)</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Il periodo di comporto rappresenta il limite massimo di assenze per malattia durante il quale il dipendente ha diritto alla conservazione del posto di lavoro.</w:t>
      </w:r>
    </w:p>
    <w:p w:rsidR="00D836B0" w:rsidRPr="00D836B0" w:rsidRDefault="00D836B0" w:rsidP="00D836B0">
      <w:pPr>
        <w:numPr>
          <w:ilvl w:val="0"/>
          <w:numId w:val="1"/>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Personale a tempo indeterminato (di ruolo) – Docenti e ATA</w:t>
      </w:r>
      <w:r w:rsidRPr="00D836B0">
        <w:rPr>
          <w:rFonts w:ascii="Times New Roman" w:eastAsia="Times New Roman" w:hAnsi="Times New Roman" w:cs="Times New Roman"/>
          <w:color w:val="000000"/>
          <w:sz w:val="24"/>
          <w:szCs w:val="24"/>
          <w:lang w:eastAsia="it-IT"/>
        </w:rPr>
        <w:br/>
        <w:t>Il personale di ruolo ha diritto alla conservazione del posto per un periodo di </w:t>
      </w:r>
      <w:r w:rsidRPr="00D836B0">
        <w:rPr>
          <w:rFonts w:ascii="Times New Roman" w:eastAsia="Times New Roman" w:hAnsi="Times New Roman" w:cs="Times New Roman"/>
          <w:b/>
          <w:bCs/>
          <w:color w:val="000000"/>
          <w:sz w:val="24"/>
          <w:szCs w:val="24"/>
          <w:lang w:eastAsia="it-IT"/>
        </w:rPr>
        <w:t>18 mesi</w:t>
      </w:r>
      <w:r w:rsidRPr="00D836B0">
        <w:rPr>
          <w:rFonts w:ascii="Times New Roman" w:eastAsia="Times New Roman" w:hAnsi="Times New Roman" w:cs="Times New Roman"/>
          <w:color w:val="000000"/>
          <w:sz w:val="24"/>
          <w:szCs w:val="24"/>
          <w:lang w:eastAsia="it-IT"/>
        </w:rPr>
        <w:t> (corrispondenti a 548 giorni) nell’arco di un triennio. In casi di particolare gravità, è possibile richiedere un ulteriore periodo di 18 mesi di assenza senza retribuzione, al solo fine di conservare il posto di lavoro.</w:t>
      </w:r>
    </w:p>
    <w:p w:rsidR="00D836B0" w:rsidRPr="00D836B0" w:rsidRDefault="00D836B0" w:rsidP="00D836B0">
      <w:pPr>
        <w:numPr>
          <w:ilvl w:val="0"/>
          <w:numId w:val="1"/>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Personale a tempo determinato (non di ruolo) – Docenti e ATA</w:t>
      </w:r>
      <w:r w:rsidRPr="00D836B0">
        <w:rPr>
          <w:rFonts w:ascii="Times New Roman" w:eastAsia="Times New Roman" w:hAnsi="Times New Roman" w:cs="Times New Roman"/>
          <w:color w:val="000000"/>
          <w:sz w:val="24"/>
          <w:szCs w:val="24"/>
          <w:lang w:eastAsia="it-IT"/>
        </w:rPr>
        <w:br/>
        <w:t>La durata del comporto per il personale non di ruolo varia in base alla tipologia di contratto:</w:t>
      </w:r>
    </w:p>
    <w:p w:rsidR="00D836B0" w:rsidRPr="00D836B0" w:rsidRDefault="00D836B0" w:rsidP="00D836B0">
      <w:pPr>
        <w:numPr>
          <w:ilvl w:val="1"/>
          <w:numId w:val="1"/>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Contratti per l’intero anno scolastico (31 agosto) o fino al termine delle attività didattiche (30 giugno):</w:t>
      </w:r>
      <w:r w:rsidRPr="00D836B0">
        <w:rPr>
          <w:rFonts w:ascii="Times New Roman" w:eastAsia="Times New Roman" w:hAnsi="Times New Roman" w:cs="Times New Roman"/>
          <w:color w:val="000000"/>
          <w:sz w:val="24"/>
          <w:szCs w:val="24"/>
          <w:lang w:eastAsia="it-IT"/>
        </w:rPr>
        <w:t> Il personale ha diritto alla conservazione del posto per un massimo di </w:t>
      </w:r>
      <w:r w:rsidRPr="00D836B0">
        <w:rPr>
          <w:rFonts w:ascii="Times New Roman" w:eastAsia="Times New Roman" w:hAnsi="Times New Roman" w:cs="Times New Roman"/>
          <w:b/>
          <w:bCs/>
          <w:color w:val="000000"/>
          <w:sz w:val="24"/>
          <w:szCs w:val="24"/>
          <w:lang w:eastAsia="it-IT"/>
        </w:rPr>
        <w:t xml:space="preserve">9 </w:t>
      </w:r>
      <w:proofErr w:type="spellStart"/>
      <w:r w:rsidRPr="00D836B0">
        <w:rPr>
          <w:rFonts w:ascii="Times New Roman" w:eastAsia="Times New Roman" w:hAnsi="Times New Roman" w:cs="Times New Roman"/>
          <w:b/>
          <w:bCs/>
          <w:color w:val="000000"/>
          <w:sz w:val="24"/>
          <w:szCs w:val="24"/>
          <w:lang w:eastAsia="it-IT"/>
        </w:rPr>
        <w:t>mesi</w:t>
      </w:r>
      <w:r w:rsidRPr="00D836B0">
        <w:rPr>
          <w:rFonts w:ascii="Times New Roman" w:eastAsia="Times New Roman" w:hAnsi="Times New Roman" w:cs="Times New Roman"/>
          <w:color w:val="000000"/>
          <w:sz w:val="24"/>
          <w:szCs w:val="24"/>
          <w:lang w:eastAsia="it-IT"/>
        </w:rPr>
        <w:t>in</w:t>
      </w:r>
      <w:proofErr w:type="spellEnd"/>
      <w:r w:rsidRPr="00D836B0">
        <w:rPr>
          <w:rFonts w:ascii="Times New Roman" w:eastAsia="Times New Roman" w:hAnsi="Times New Roman" w:cs="Times New Roman"/>
          <w:color w:val="000000"/>
          <w:sz w:val="24"/>
          <w:szCs w:val="24"/>
          <w:lang w:eastAsia="it-IT"/>
        </w:rPr>
        <w:t xml:space="preserve"> un triennio scolastico.</w:t>
      </w:r>
    </w:p>
    <w:p w:rsidR="00D836B0" w:rsidRDefault="00D836B0" w:rsidP="00D836B0">
      <w:pPr>
        <w:numPr>
          <w:ilvl w:val="1"/>
          <w:numId w:val="1"/>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Contratti per supplenze brevi e saltuarie (stipulati dal Dirigente Scolastico):</w:t>
      </w:r>
      <w:r w:rsidRPr="00D836B0">
        <w:rPr>
          <w:rFonts w:ascii="Times New Roman" w:eastAsia="Times New Roman" w:hAnsi="Times New Roman" w:cs="Times New Roman"/>
          <w:color w:val="000000"/>
          <w:sz w:val="24"/>
          <w:szCs w:val="24"/>
          <w:lang w:eastAsia="it-IT"/>
        </w:rPr>
        <w:t> Il personale ha diritto alla conservazione del posto per un periodo non superiore a </w:t>
      </w:r>
      <w:r w:rsidRPr="00D836B0">
        <w:rPr>
          <w:rFonts w:ascii="Times New Roman" w:eastAsia="Times New Roman" w:hAnsi="Times New Roman" w:cs="Times New Roman"/>
          <w:b/>
          <w:bCs/>
          <w:color w:val="000000"/>
          <w:sz w:val="24"/>
          <w:szCs w:val="24"/>
          <w:lang w:eastAsia="it-IT"/>
        </w:rPr>
        <w:t>30 giorni annuali</w:t>
      </w:r>
      <w:r w:rsidRPr="00D836B0">
        <w:rPr>
          <w:rFonts w:ascii="Times New Roman" w:eastAsia="Times New Roman" w:hAnsi="Times New Roman" w:cs="Times New Roman"/>
          <w:color w:val="000000"/>
          <w:sz w:val="24"/>
          <w:szCs w:val="24"/>
          <w:lang w:eastAsia="it-IT"/>
        </w:rPr>
        <w:t>, calcolati per ciascun anno scolastico e nei limiti della durata del contratto stesso.</w:t>
      </w:r>
    </w:p>
    <w:p w:rsidR="00D836B0" w:rsidRPr="00D836B0" w:rsidRDefault="00D836B0" w:rsidP="00D836B0">
      <w:pPr>
        <w:numPr>
          <w:ilvl w:val="1"/>
          <w:numId w:val="1"/>
        </w:numPr>
        <w:spacing w:after="0" w:line="240" w:lineRule="auto"/>
        <w:ind w:left="300"/>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2. Calcolo del Periodo di Comporto</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Le modalità di calcolo del triennio di riferimento differiscono tra personale di ruolo e precario.</w:t>
      </w:r>
    </w:p>
    <w:p w:rsidR="00D836B0" w:rsidRPr="00D836B0" w:rsidRDefault="00D836B0" w:rsidP="00D836B0">
      <w:pPr>
        <w:numPr>
          <w:ilvl w:val="0"/>
          <w:numId w:val="2"/>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Personale di ruolo:</w:t>
      </w:r>
      <w:r w:rsidRPr="00D836B0">
        <w:rPr>
          <w:rFonts w:ascii="Times New Roman" w:eastAsia="Times New Roman" w:hAnsi="Times New Roman" w:cs="Times New Roman"/>
          <w:color w:val="000000"/>
          <w:sz w:val="24"/>
          <w:szCs w:val="24"/>
          <w:lang w:eastAsia="it-IT"/>
        </w:rPr>
        <w:t> Il calcolo viene effettuato “a ritroso” (cosiddetto triennio mobile). Si parte dall’ultimo episodio di malattia e si sommano tutte le assenze verificatesi nei tre anni precedenti a tale data.</w:t>
      </w:r>
    </w:p>
    <w:p w:rsidR="00D836B0" w:rsidRDefault="00D836B0" w:rsidP="00D836B0">
      <w:pPr>
        <w:numPr>
          <w:ilvl w:val="0"/>
          <w:numId w:val="2"/>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Personale non di ruolo (con contratto annuale o fino al 30 giugno):</w:t>
      </w:r>
      <w:r w:rsidRPr="00D836B0">
        <w:rPr>
          <w:rFonts w:ascii="Times New Roman" w:eastAsia="Times New Roman" w:hAnsi="Times New Roman" w:cs="Times New Roman"/>
          <w:color w:val="000000"/>
          <w:sz w:val="24"/>
          <w:szCs w:val="24"/>
          <w:lang w:eastAsia="it-IT"/>
        </w:rPr>
        <w:t> Il triennio di riferimento non è mobile, ma decorre dalla data della prima assenza per malattia.</w:t>
      </w:r>
    </w:p>
    <w:p w:rsidR="00D836B0" w:rsidRPr="00D836B0" w:rsidRDefault="00D836B0" w:rsidP="00D836B0">
      <w:pPr>
        <w:numPr>
          <w:ilvl w:val="0"/>
          <w:numId w:val="2"/>
        </w:numPr>
        <w:spacing w:after="0" w:line="240" w:lineRule="auto"/>
        <w:ind w:left="300"/>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3. Comportamento e Obblighi del Dipendente in Malattia</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Il dipendente assente per malattia è tenuto a rispettare una serie di obblighi per garantire la correttezza del rapporto con l’amministrazione.</w:t>
      </w:r>
    </w:p>
    <w:p w:rsidR="00D836B0" w:rsidRPr="00D836B0" w:rsidRDefault="00D836B0" w:rsidP="00D836B0">
      <w:pPr>
        <w:numPr>
          <w:ilvl w:val="0"/>
          <w:numId w:val="3"/>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Comunicazione dell’assenza:</w:t>
      </w:r>
      <w:r w:rsidRPr="00D836B0">
        <w:rPr>
          <w:rFonts w:ascii="Times New Roman" w:eastAsia="Times New Roman" w:hAnsi="Times New Roman" w:cs="Times New Roman"/>
          <w:color w:val="000000"/>
          <w:sz w:val="24"/>
          <w:szCs w:val="24"/>
          <w:lang w:eastAsia="it-IT"/>
        </w:rPr>
        <w:t xml:space="preserve"> L’assenza per malattia deve essere comunicata all’istituto </w:t>
      </w:r>
      <w:proofErr w:type="spellStart"/>
      <w:r w:rsidRPr="00D836B0">
        <w:rPr>
          <w:rFonts w:ascii="Times New Roman" w:eastAsia="Times New Roman" w:hAnsi="Times New Roman" w:cs="Times New Roman"/>
          <w:color w:val="000000"/>
          <w:sz w:val="24"/>
          <w:szCs w:val="24"/>
          <w:lang w:eastAsia="it-IT"/>
        </w:rPr>
        <w:t>scolastico</w:t>
      </w:r>
      <w:r w:rsidRPr="00D836B0">
        <w:rPr>
          <w:rFonts w:ascii="Times New Roman" w:eastAsia="Times New Roman" w:hAnsi="Times New Roman" w:cs="Times New Roman"/>
          <w:b/>
          <w:bCs/>
          <w:color w:val="000000"/>
          <w:sz w:val="24"/>
          <w:szCs w:val="24"/>
          <w:lang w:eastAsia="it-IT"/>
        </w:rPr>
        <w:t>tempestivamente</w:t>
      </w:r>
      <w:proofErr w:type="spellEnd"/>
      <w:r w:rsidRPr="00D836B0">
        <w:rPr>
          <w:rFonts w:ascii="Times New Roman" w:eastAsia="Times New Roman" w:hAnsi="Times New Roman" w:cs="Times New Roman"/>
          <w:b/>
          <w:bCs/>
          <w:color w:val="000000"/>
          <w:sz w:val="24"/>
          <w:szCs w:val="24"/>
          <w:lang w:eastAsia="it-IT"/>
        </w:rPr>
        <w:t xml:space="preserve"> e comunque non oltre l’inizio dell’orario di lavoro</w:t>
      </w:r>
      <w:r w:rsidRPr="00D836B0">
        <w:rPr>
          <w:rFonts w:ascii="Times New Roman" w:eastAsia="Times New Roman" w:hAnsi="Times New Roman" w:cs="Times New Roman"/>
          <w:color w:val="000000"/>
          <w:sz w:val="24"/>
          <w:szCs w:val="24"/>
          <w:lang w:eastAsia="it-IT"/>
        </w:rPr>
        <w:t> del giorno in cui si verifica. Per “inizio dell’orario di lavoro” si intende l’orario di apertura della scuola (es. ore 8:00) e non l’orario di servizio specifico del dipendente.</w:t>
      </w:r>
    </w:p>
    <w:p w:rsidR="00D836B0" w:rsidRPr="00D836B0" w:rsidRDefault="00D836B0" w:rsidP="00D836B0">
      <w:pPr>
        <w:numPr>
          <w:ilvl w:val="0"/>
          <w:numId w:val="3"/>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Certificazione medica:</w:t>
      </w:r>
      <w:r w:rsidRPr="00D836B0">
        <w:rPr>
          <w:rFonts w:ascii="Times New Roman" w:eastAsia="Times New Roman" w:hAnsi="Times New Roman" w:cs="Times New Roman"/>
          <w:color w:val="000000"/>
          <w:sz w:val="24"/>
          <w:szCs w:val="24"/>
          <w:lang w:eastAsia="it-IT"/>
        </w:rPr>
        <w:t> L’assenza deve essere giustificata da un certificato medico, che oggi viene trasmesso telematicamente dal medico curante all’INPS, il quale lo inoltra all’amministrazione di appartenenza.</w:t>
      </w:r>
    </w:p>
    <w:p w:rsidR="00D836B0" w:rsidRPr="00D836B0" w:rsidRDefault="00D836B0" w:rsidP="00D836B0">
      <w:pPr>
        <w:numPr>
          <w:ilvl w:val="0"/>
          <w:numId w:val="3"/>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Reperibilità:</w:t>
      </w:r>
      <w:r w:rsidRPr="00D836B0">
        <w:rPr>
          <w:rFonts w:ascii="Times New Roman" w:eastAsia="Times New Roman" w:hAnsi="Times New Roman" w:cs="Times New Roman"/>
          <w:color w:val="000000"/>
          <w:sz w:val="24"/>
          <w:szCs w:val="24"/>
          <w:lang w:eastAsia="it-IT"/>
        </w:rPr>
        <w:t> Il dipendente ha l’obbligo di essere reperibile presso l’indirizzo abituale o il domicilio occasionale comunicato all’amministrazione per consentire le visite mediche di controllo.</w:t>
      </w:r>
    </w:p>
    <w:p w:rsidR="00D836B0" w:rsidRPr="00D836B0" w:rsidRDefault="00D836B0" w:rsidP="00D836B0">
      <w:pPr>
        <w:numPr>
          <w:ilvl w:val="0"/>
          <w:numId w:val="3"/>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Cambio di domicilio:</w:t>
      </w:r>
      <w:r w:rsidRPr="00D836B0">
        <w:rPr>
          <w:rFonts w:ascii="Times New Roman" w:eastAsia="Times New Roman" w:hAnsi="Times New Roman" w:cs="Times New Roman"/>
          <w:color w:val="000000"/>
          <w:sz w:val="24"/>
          <w:szCs w:val="24"/>
          <w:lang w:eastAsia="it-IT"/>
        </w:rPr>
        <w:t> Qualora il dipendente dimori in un luogo diverso da quello di residenza, deve darne immediata comunicazione all’amministrazione, precisando l’indirizzo di reperibilità.</w:t>
      </w:r>
    </w:p>
    <w:p w:rsidR="00D836B0" w:rsidRDefault="00D836B0" w:rsidP="00D836B0">
      <w:pPr>
        <w:numPr>
          <w:ilvl w:val="0"/>
          <w:numId w:val="3"/>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Allontanamento durante le fasce di reperibilità:</w:t>
      </w:r>
      <w:r w:rsidRPr="00D836B0">
        <w:rPr>
          <w:rFonts w:ascii="Times New Roman" w:eastAsia="Times New Roman" w:hAnsi="Times New Roman" w:cs="Times New Roman"/>
          <w:color w:val="000000"/>
          <w:sz w:val="24"/>
          <w:szCs w:val="24"/>
          <w:lang w:eastAsia="it-IT"/>
        </w:rPr>
        <w:t> Se il dipendente deve allontanarsi per motivi giustificati (es. visite mediche, accertamenti specialistici), è tenuto a darne </w:t>
      </w:r>
      <w:r w:rsidRPr="00D836B0">
        <w:rPr>
          <w:rFonts w:ascii="Times New Roman" w:eastAsia="Times New Roman" w:hAnsi="Times New Roman" w:cs="Times New Roman"/>
          <w:b/>
          <w:bCs/>
          <w:color w:val="000000"/>
          <w:sz w:val="24"/>
          <w:szCs w:val="24"/>
          <w:lang w:eastAsia="it-IT"/>
        </w:rPr>
        <w:t>preventiva comunicazione</w:t>
      </w:r>
      <w:r w:rsidRPr="00D836B0">
        <w:rPr>
          <w:rFonts w:ascii="Times New Roman" w:eastAsia="Times New Roman" w:hAnsi="Times New Roman" w:cs="Times New Roman"/>
          <w:color w:val="000000"/>
          <w:sz w:val="24"/>
          <w:szCs w:val="24"/>
          <w:lang w:eastAsia="it-IT"/>
        </w:rPr>
        <w:t> all’amministrazione. Tali assenze devono essere documentate su richiesta.</w:t>
      </w:r>
    </w:p>
    <w:p w:rsidR="00D836B0" w:rsidRDefault="00D836B0" w:rsidP="00D836B0">
      <w:pPr>
        <w:spacing w:after="0" w:line="240" w:lineRule="auto"/>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lastRenderedPageBreak/>
        <w:t>4. Disciplina per Gravi Patologie</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Il CCNL prevede una tutela rafforzata per i dipendenti affetti da gravi patologie che richiedono terapie salvavita o temporaneamente e/o parzialmente invalidanti.</w:t>
      </w:r>
    </w:p>
    <w:p w:rsidR="00D836B0" w:rsidRPr="00D836B0" w:rsidRDefault="00D836B0" w:rsidP="00D836B0">
      <w:pPr>
        <w:numPr>
          <w:ilvl w:val="0"/>
          <w:numId w:val="4"/>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Esclusione dal periodo di comporto:</w:t>
      </w:r>
      <w:r w:rsidRPr="00D836B0">
        <w:rPr>
          <w:rFonts w:ascii="Times New Roman" w:eastAsia="Times New Roman" w:hAnsi="Times New Roman" w:cs="Times New Roman"/>
          <w:color w:val="000000"/>
          <w:sz w:val="24"/>
          <w:szCs w:val="24"/>
          <w:lang w:eastAsia="it-IT"/>
        </w:rPr>
        <w:t> I giorni di ricovero ospedaliero, di day hospital, nonché i giorni di assenza dovuti all’effettuazione delle terapie e alle loro conseguenze certificate, </w:t>
      </w:r>
      <w:r w:rsidRPr="00D836B0">
        <w:rPr>
          <w:rFonts w:ascii="Times New Roman" w:eastAsia="Times New Roman" w:hAnsi="Times New Roman" w:cs="Times New Roman"/>
          <w:b/>
          <w:bCs/>
          <w:color w:val="000000"/>
          <w:sz w:val="24"/>
          <w:szCs w:val="24"/>
          <w:lang w:eastAsia="it-IT"/>
        </w:rPr>
        <w:t>sono esclusi dal calcolo del periodo di comporto</w:t>
      </w:r>
      <w:r w:rsidRPr="00D836B0">
        <w:rPr>
          <w:rFonts w:ascii="Times New Roman" w:eastAsia="Times New Roman" w:hAnsi="Times New Roman" w:cs="Times New Roman"/>
          <w:color w:val="000000"/>
          <w:sz w:val="24"/>
          <w:szCs w:val="24"/>
          <w:lang w:eastAsia="it-IT"/>
        </w:rPr>
        <w:t>.</w:t>
      </w:r>
    </w:p>
    <w:p w:rsidR="00D836B0" w:rsidRPr="00D836B0" w:rsidRDefault="00D836B0" w:rsidP="00D836B0">
      <w:pPr>
        <w:numPr>
          <w:ilvl w:val="0"/>
          <w:numId w:val="4"/>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Trattamento economico:</w:t>
      </w:r>
      <w:r w:rsidRPr="00D836B0">
        <w:rPr>
          <w:rFonts w:ascii="Times New Roman" w:eastAsia="Times New Roman" w:hAnsi="Times New Roman" w:cs="Times New Roman"/>
          <w:color w:val="000000"/>
          <w:sz w:val="24"/>
          <w:szCs w:val="24"/>
          <w:lang w:eastAsia="it-IT"/>
        </w:rPr>
        <w:t> Per tali giornate spetta l’</w:t>
      </w:r>
      <w:r w:rsidRPr="00D836B0">
        <w:rPr>
          <w:rFonts w:ascii="Times New Roman" w:eastAsia="Times New Roman" w:hAnsi="Times New Roman" w:cs="Times New Roman"/>
          <w:b/>
          <w:bCs/>
          <w:color w:val="000000"/>
          <w:sz w:val="24"/>
          <w:szCs w:val="24"/>
          <w:lang w:eastAsia="it-IT"/>
        </w:rPr>
        <w:t>intera retribuzione</w:t>
      </w:r>
      <w:r w:rsidRPr="00D836B0">
        <w:rPr>
          <w:rFonts w:ascii="Times New Roman" w:eastAsia="Times New Roman" w:hAnsi="Times New Roman" w:cs="Times New Roman"/>
          <w:color w:val="000000"/>
          <w:sz w:val="24"/>
          <w:szCs w:val="24"/>
          <w:lang w:eastAsia="it-IT"/>
        </w:rPr>
        <w:t>.</w:t>
      </w:r>
    </w:p>
    <w:p w:rsidR="00D836B0" w:rsidRPr="00D836B0" w:rsidRDefault="00D836B0" w:rsidP="00D836B0">
      <w:pPr>
        <w:numPr>
          <w:ilvl w:val="0"/>
          <w:numId w:val="4"/>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Applicabilità al personale precario:</w:t>
      </w:r>
      <w:r w:rsidRPr="00D836B0">
        <w:rPr>
          <w:rFonts w:ascii="Times New Roman" w:eastAsia="Times New Roman" w:hAnsi="Times New Roman" w:cs="Times New Roman"/>
          <w:color w:val="000000"/>
          <w:sz w:val="24"/>
          <w:szCs w:val="24"/>
          <w:lang w:eastAsia="it-IT"/>
        </w:rPr>
        <w:t> Queste disposizioni di maggior favore si applicano anche al personale a tempo determinato.</w:t>
      </w:r>
    </w:p>
    <w:p w:rsidR="00D836B0" w:rsidRPr="00D836B0" w:rsidRDefault="00D836B0" w:rsidP="00D836B0">
      <w:pPr>
        <w:numPr>
          <w:ilvl w:val="0"/>
          <w:numId w:val="4"/>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Requisiti e certificazione:</w:t>
      </w:r>
      <w:r w:rsidRPr="00D836B0">
        <w:rPr>
          <w:rFonts w:ascii="Times New Roman" w:eastAsia="Times New Roman" w:hAnsi="Times New Roman" w:cs="Times New Roman"/>
          <w:color w:val="000000"/>
          <w:sz w:val="24"/>
          <w:szCs w:val="24"/>
          <w:lang w:eastAsia="it-IT"/>
        </w:rPr>
        <w:t> Per usufruire di tali benefici, devono sussistere due requisiti: una patologia grave e la necessità di sottoporsi a terapie invalidanti. Entrambi devono essere certificati da una struttura sanitaria pubblica (ASL) o convenzionata. La documentazione medica, per consentire all’amministrazione di applicare il regime di favore, </w:t>
      </w:r>
      <w:r w:rsidRPr="00D836B0">
        <w:rPr>
          <w:rFonts w:ascii="Times New Roman" w:eastAsia="Times New Roman" w:hAnsi="Times New Roman" w:cs="Times New Roman"/>
          <w:b/>
          <w:bCs/>
          <w:color w:val="000000"/>
          <w:sz w:val="24"/>
          <w:szCs w:val="24"/>
          <w:lang w:eastAsia="it-IT"/>
        </w:rPr>
        <w:t>deve contenere la diagnosi</w:t>
      </w:r>
      <w:r w:rsidRPr="00D836B0">
        <w:rPr>
          <w:rFonts w:ascii="Times New Roman" w:eastAsia="Times New Roman" w:hAnsi="Times New Roman" w:cs="Times New Roman"/>
          <w:color w:val="000000"/>
          <w:sz w:val="24"/>
          <w:szCs w:val="24"/>
          <w:lang w:eastAsia="it-IT"/>
        </w:rPr>
        <w:t> e specificare la natura della terapia.</w:t>
      </w:r>
    </w:p>
    <w:p w:rsidR="00D836B0" w:rsidRDefault="00D836B0" w:rsidP="00D836B0">
      <w:pPr>
        <w:numPr>
          <w:ilvl w:val="0"/>
          <w:numId w:val="4"/>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Esenzione dalla reperibilità:</w:t>
      </w:r>
      <w:r w:rsidRPr="00D836B0">
        <w:rPr>
          <w:rFonts w:ascii="Times New Roman" w:eastAsia="Times New Roman" w:hAnsi="Times New Roman" w:cs="Times New Roman"/>
          <w:color w:val="000000"/>
          <w:sz w:val="24"/>
          <w:szCs w:val="24"/>
          <w:lang w:eastAsia="it-IT"/>
        </w:rPr>
        <w:t> I dipendenti con gravi patologie che richiedono terapie salvavita sono esclusi dall’obbligo di rispettare le fasce di reperibilità per le visite fiscali.</w:t>
      </w:r>
    </w:p>
    <w:p w:rsidR="00D836B0" w:rsidRPr="00D836B0" w:rsidRDefault="00D836B0" w:rsidP="00D836B0">
      <w:pPr>
        <w:numPr>
          <w:ilvl w:val="0"/>
          <w:numId w:val="4"/>
        </w:numPr>
        <w:spacing w:after="0" w:line="240" w:lineRule="auto"/>
        <w:ind w:left="300"/>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5. Fasce di Reperibilità e Trattamento Economico</w:t>
      </w:r>
    </w:p>
    <w:p w:rsidR="00D836B0" w:rsidRDefault="00D836B0" w:rsidP="00D836B0">
      <w:pPr>
        <w:numPr>
          <w:ilvl w:val="0"/>
          <w:numId w:val="5"/>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Fasce di reperibilità:</w:t>
      </w:r>
      <w:r w:rsidRPr="00D836B0">
        <w:rPr>
          <w:rFonts w:ascii="Times New Roman" w:eastAsia="Times New Roman" w:hAnsi="Times New Roman" w:cs="Times New Roman"/>
          <w:color w:val="000000"/>
          <w:sz w:val="24"/>
          <w:szCs w:val="24"/>
          <w:lang w:eastAsia="it-IT"/>
        </w:rPr>
        <w:t> A seguito di una sentenza del TAR del Lazio e del conseguente messaggio INPS n. 4640/2023, le fasce orarie di reperibilità sono state unificate per tutti i dipendenti, pubblici e privati. Gli orari sono:</w:t>
      </w:r>
    </w:p>
    <w:p w:rsidR="00D836B0" w:rsidRPr="00D836B0" w:rsidRDefault="00D836B0" w:rsidP="00D836B0">
      <w:pPr>
        <w:numPr>
          <w:ilvl w:val="0"/>
          <w:numId w:val="5"/>
        </w:numPr>
        <w:spacing w:after="0" w:line="240" w:lineRule="auto"/>
        <w:ind w:left="300"/>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rPr>
          <w:rFonts w:ascii="Times New Roman" w:eastAsia="Times New Roman" w:hAnsi="Times New Roman" w:cs="Times New Roman"/>
          <w:color w:val="000000"/>
          <w:sz w:val="24"/>
          <w:szCs w:val="24"/>
          <w:lang w:eastAsia="it-IT"/>
        </w:rPr>
      </w:pPr>
      <w:proofErr w:type="gramStart"/>
      <w:r w:rsidRPr="00D836B0">
        <w:rPr>
          <w:rFonts w:ascii="Times New Roman" w:eastAsia="Times New Roman" w:hAnsi="Times New Roman" w:cs="Times New Roman"/>
          <w:color w:val="000000"/>
          <w:sz w:val="24"/>
          <w:szCs w:val="24"/>
          <w:lang w:eastAsia="it-IT"/>
        </w:rPr>
        <w:t>ü  </w:t>
      </w:r>
      <w:r w:rsidRPr="00D836B0">
        <w:rPr>
          <w:rFonts w:ascii="Times New Roman" w:eastAsia="Times New Roman" w:hAnsi="Times New Roman" w:cs="Times New Roman"/>
          <w:b/>
          <w:bCs/>
          <w:color w:val="000000"/>
          <w:sz w:val="24"/>
          <w:szCs w:val="24"/>
          <w:lang w:eastAsia="it-IT"/>
        </w:rPr>
        <w:t>dalle</w:t>
      </w:r>
      <w:proofErr w:type="gramEnd"/>
      <w:r w:rsidRPr="00D836B0">
        <w:rPr>
          <w:rFonts w:ascii="Times New Roman" w:eastAsia="Times New Roman" w:hAnsi="Times New Roman" w:cs="Times New Roman"/>
          <w:b/>
          <w:bCs/>
          <w:color w:val="000000"/>
          <w:sz w:val="24"/>
          <w:szCs w:val="24"/>
          <w:lang w:eastAsia="it-IT"/>
        </w:rPr>
        <w:t xml:space="preserve"> 10:00 alle 12:00</w:t>
      </w:r>
    </w:p>
    <w:p w:rsidR="00D836B0" w:rsidRDefault="00D836B0" w:rsidP="00D836B0">
      <w:pPr>
        <w:spacing w:after="0" w:line="240" w:lineRule="auto"/>
        <w:rPr>
          <w:rFonts w:ascii="Times New Roman" w:eastAsia="Times New Roman" w:hAnsi="Times New Roman" w:cs="Times New Roman"/>
          <w:b/>
          <w:bCs/>
          <w:color w:val="000000"/>
          <w:sz w:val="24"/>
          <w:szCs w:val="24"/>
          <w:lang w:eastAsia="it-IT"/>
        </w:rPr>
      </w:pPr>
      <w:proofErr w:type="gramStart"/>
      <w:r w:rsidRPr="00D836B0">
        <w:rPr>
          <w:rFonts w:ascii="Times New Roman" w:eastAsia="Times New Roman" w:hAnsi="Times New Roman" w:cs="Times New Roman"/>
          <w:color w:val="000000"/>
          <w:sz w:val="24"/>
          <w:szCs w:val="24"/>
          <w:lang w:eastAsia="it-IT"/>
        </w:rPr>
        <w:t>ü  </w:t>
      </w:r>
      <w:r w:rsidRPr="00D836B0">
        <w:rPr>
          <w:rFonts w:ascii="Times New Roman" w:eastAsia="Times New Roman" w:hAnsi="Times New Roman" w:cs="Times New Roman"/>
          <w:b/>
          <w:bCs/>
          <w:color w:val="000000"/>
          <w:sz w:val="24"/>
          <w:szCs w:val="24"/>
          <w:lang w:eastAsia="it-IT"/>
        </w:rPr>
        <w:t>dalle</w:t>
      </w:r>
      <w:proofErr w:type="gramEnd"/>
      <w:r w:rsidRPr="00D836B0">
        <w:rPr>
          <w:rFonts w:ascii="Times New Roman" w:eastAsia="Times New Roman" w:hAnsi="Times New Roman" w:cs="Times New Roman"/>
          <w:b/>
          <w:bCs/>
          <w:color w:val="000000"/>
          <w:sz w:val="24"/>
          <w:szCs w:val="24"/>
          <w:lang w:eastAsia="it-IT"/>
        </w:rPr>
        <w:t xml:space="preserve"> 17:00 alle 19:00</w:t>
      </w:r>
    </w:p>
    <w:p w:rsidR="00D836B0" w:rsidRDefault="00D836B0" w:rsidP="00D836B0">
      <w:pPr>
        <w:spacing w:after="0" w:line="240" w:lineRule="auto"/>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br/>
        <w:t>L’obbligo di reperibilità sussiste per tutti i giorni, inclusi i domenicali e i festivi.</w:t>
      </w:r>
    </w:p>
    <w:p w:rsidR="00D836B0" w:rsidRPr="00D836B0" w:rsidRDefault="00D836B0" w:rsidP="00D836B0">
      <w:pPr>
        <w:spacing w:after="0" w:line="240" w:lineRule="auto"/>
        <w:rPr>
          <w:rFonts w:ascii="Times New Roman" w:eastAsia="Times New Roman" w:hAnsi="Times New Roman" w:cs="Times New Roman"/>
          <w:color w:val="000000"/>
          <w:sz w:val="24"/>
          <w:szCs w:val="24"/>
          <w:lang w:eastAsia="it-IT"/>
        </w:rPr>
      </w:pPr>
    </w:p>
    <w:p w:rsidR="00D836B0" w:rsidRPr="00D836B0" w:rsidRDefault="00D836B0" w:rsidP="00D836B0">
      <w:pPr>
        <w:numPr>
          <w:ilvl w:val="0"/>
          <w:numId w:val="6"/>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Trattamento economico per malattia:</w:t>
      </w:r>
    </w:p>
    <w:p w:rsidR="00D836B0" w:rsidRPr="00D836B0" w:rsidRDefault="00D836B0" w:rsidP="00D836B0">
      <w:pPr>
        <w:spacing w:after="0" w:line="240" w:lineRule="auto"/>
        <w:ind w:left="-60"/>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Personale di ruolo:</w:t>
      </w:r>
    </w:p>
    <w:p w:rsidR="00D836B0" w:rsidRPr="00D836B0" w:rsidRDefault="00D836B0" w:rsidP="00D836B0">
      <w:pPr>
        <w:numPr>
          <w:ilvl w:val="0"/>
          <w:numId w:val="7"/>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Primi 9 mesi: </w:t>
      </w:r>
      <w:r w:rsidRPr="00D836B0">
        <w:rPr>
          <w:rFonts w:ascii="Times New Roman" w:eastAsia="Times New Roman" w:hAnsi="Times New Roman" w:cs="Times New Roman"/>
          <w:b/>
          <w:bCs/>
          <w:color w:val="000000"/>
          <w:sz w:val="24"/>
          <w:szCs w:val="24"/>
          <w:lang w:eastAsia="it-IT"/>
        </w:rPr>
        <w:t>intera retribuzione</w:t>
      </w:r>
      <w:r w:rsidRPr="00D836B0">
        <w:rPr>
          <w:rFonts w:ascii="Times New Roman" w:eastAsia="Times New Roman" w:hAnsi="Times New Roman" w:cs="Times New Roman"/>
          <w:color w:val="000000"/>
          <w:sz w:val="24"/>
          <w:szCs w:val="24"/>
          <w:lang w:eastAsia="it-IT"/>
        </w:rPr>
        <w:t> fissa mensile.</w:t>
      </w:r>
    </w:p>
    <w:p w:rsidR="00D836B0" w:rsidRPr="00D836B0" w:rsidRDefault="00D836B0" w:rsidP="00D836B0">
      <w:pPr>
        <w:numPr>
          <w:ilvl w:val="0"/>
          <w:numId w:val="7"/>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Dal 10° al 12° mese: </w:t>
      </w:r>
      <w:r w:rsidRPr="00D836B0">
        <w:rPr>
          <w:rFonts w:ascii="Times New Roman" w:eastAsia="Times New Roman" w:hAnsi="Times New Roman" w:cs="Times New Roman"/>
          <w:b/>
          <w:bCs/>
          <w:color w:val="000000"/>
          <w:sz w:val="24"/>
          <w:szCs w:val="24"/>
          <w:lang w:eastAsia="it-IT"/>
        </w:rPr>
        <w:t>90%</w:t>
      </w:r>
      <w:r w:rsidRPr="00D836B0">
        <w:rPr>
          <w:rFonts w:ascii="Times New Roman" w:eastAsia="Times New Roman" w:hAnsi="Times New Roman" w:cs="Times New Roman"/>
          <w:color w:val="000000"/>
          <w:sz w:val="24"/>
          <w:szCs w:val="24"/>
          <w:lang w:eastAsia="it-IT"/>
        </w:rPr>
        <w:t> della retribuzione.</w:t>
      </w:r>
    </w:p>
    <w:p w:rsidR="00D836B0" w:rsidRDefault="00D836B0" w:rsidP="00D836B0">
      <w:pPr>
        <w:numPr>
          <w:ilvl w:val="0"/>
          <w:numId w:val="7"/>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Dal 13° al 18° mese: </w:t>
      </w:r>
      <w:r w:rsidRPr="00D836B0">
        <w:rPr>
          <w:rFonts w:ascii="Times New Roman" w:eastAsia="Times New Roman" w:hAnsi="Times New Roman" w:cs="Times New Roman"/>
          <w:b/>
          <w:bCs/>
          <w:color w:val="000000"/>
          <w:sz w:val="24"/>
          <w:szCs w:val="24"/>
          <w:lang w:eastAsia="it-IT"/>
        </w:rPr>
        <w:t>50%</w:t>
      </w:r>
      <w:r w:rsidRPr="00D836B0">
        <w:rPr>
          <w:rFonts w:ascii="Times New Roman" w:eastAsia="Times New Roman" w:hAnsi="Times New Roman" w:cs="Times New Roman"/>
          <w:color w:val="000000"/>
          <w:sz w:val="24"/>
          <w:szCs w:val="24"/>
          <w:lang w:eastAsia="it-IT"/>
        </w:rPr>
        <w:t> della retribuzione.</w:t>
      </w:r>
      <w:r w:rsidRPr="00D836B0">
        <w:rPr>
          <w:rFonts w:ascii="Times New Roman" w:eastAsia="Times New Roman" w:hAnsi="Times New Roman" w:cs="Times New Roman"/>
          <w:color w:val="000000"/>
          <w:sz w:val="24"/>
          <w:szCs w:val="24"/>
          <w:lang w:eastAsia="it-IT"/>
        </w:rPr>
        <w:br/>
        <w:t>Per i primi 10 giorni di assenza si applica la cosiddetta “Trattenuta Brunetta”, che comporta la corresponsione del solo trattamento economico fondamentale, con esclusione della retribuzione accessoria, salvo eccezioni come ricovero ospedaliero o gravi patologie.</w:t>
      </w:r>
    </w:p>
    <w:p w:rsidR="00D836B0" w:rsidRPr="00D836B0" w:rsidRDefault="00D836B0" w:rsidP="00D836B0">
      <w:pPr>
        <w:spacing w:after="0" w:line="240" w:lineRule="auto"/>
        <w:ind w:left="-60"/>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Personale non di ruolo (contratto annuale o fino al 30 giugno):</w:t>
      </w:r>
    </w:p>
    <w:p w:rsidR="00D836B0" w:rsidRPr="00D836B0" w:rsidRDefault="00D836B0" w:rsidP="00D836B0">
      <w:pPr>
        <w:numPr>
          <w:ilvl w:val="0"/>
          <w:numId w:val="8"/>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Primo mese: </w:t>
      </w:r>
      <w:r w:rsidRPr="00D836B0">
        <w:rPr>
          <w:rFonts w:ascii="Times New Roman" w:eastAsia="Times New Roman" w:hAnsi="Times New Roman" w:cs="Times New Roman"/>
          <w:b/>
          <w:bCs/>
          <w:color w:val="000000"/>
          <w:sz w:val="24"/>
          <w:szCs w:val="24"/>
          <w:lang w:eastAsia="it-IT"/>
        </w:rPr>
        <w:t>intera retribuzione</w:t>
      </w:r>
      <w:r w:rsidRPr="00D836B0">
        <w:rPr>
          <w:rFonts w:ascii="Times New Roman" w:eastAsia="Times New Roman" w:hAnsi="Times New Roman" w:cs="Times New Roman"/>
          <w:color w:val="000000"/>
          <w:sz w:val="24"/>
          <w:szCs w:val="24"/>
          <w:lang w:eastAsia="it-IT"/>
        </w:rPr>
        <w:t>.</w:t>
      </w:r>
    </w:p>
    <w:p w:rsidR="00D836B0" w:rsidRPr="00D836B0" w:rsidRDefault="00D836B0" w:rsidP="00D836B0">
      <w:pPr>
        <w:numPr>
          <w:ilvl w:val="0"/>
          <w:numId w:val="8"/>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Secondo e terzo mese: </w:t>
      </w:r>
      <w:r w:rsidRPr="00D836B0">
        <w:rPr>
          <w:rFonts w:ascii="Times New Roman" w:eastAsia="Times New Roman" w:hAnsi="Times New Roman" w:cs="Times New Roman"/>
          <w:b/>
          <w:bCs/>
          <w:color w:val="000000"/>
          <w:sz w:val="24"/>
          <w:szCs w:val="24"/>
          <w:lang w:eastAsia="it-IT"/>
        </w:rPr>
        <w:t>50%</w:t>
      </w:r>
      <w:r w:rsidRPr="00D836B0">
        <w:rPr>
          <w:rFonts w:ascii="Times New Roman" w:eastAsia="Times New Roman" w:hAnsi="Times New Roman" w:cs="Times New Roman"/>
          <w:color w:val="000000"/>
          <w:sz w:val="24"/>
          <w:szCs w:val="24"/>
          <w:lang w:eastAsia="it-IT"/>
        </w:rPr>
        <w:t> della retribuzione.</w:t>
      </w:r>
    </w:p>
    <w:p w:rsidR="00D836B0" w:rsidRPr="00D836B0" w:rsidRDefault="00D836B0" w:rsidP="00D836B0">
      <w:pPr>
        <w:numPr>
          <w:ilvl w:val="0"/>
          <w:numId w:val="8"/>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Periodo restante (fino al 9° mese): conservazione del posto </w:t>
      </w:r>
      <w:r w:rsidRPr="00D836B0">
        <w:rPr>
          <w:rFonts w:ascii="Times New Roman" w:eastAsia="Times New Roman" w:hAnsi="Times New Roman" w:cs="Times New Roman"/>
          <w:b/>
          <w:bCs/>
          <w:color w:val="000000"/>
          <w:sz w:val="24"/>
          <w:szCs w:val="24"/>
          <w:lang w:eastAsia="it-IT"/>
        </w:rPr>
        <w:t>senza assegni</w:t>
      </w:r>
      <w:r w:rsidRPr="00D836B0">
        <w:rPr>
          <w:rFonts w:ascii="Times New Roman" w:eastAsia="Times New Roman" w:hAnsi="Times New Roman" w:cs="Times New Roman"/>
          <w:color w:val="000000"/>
          <w:sz w:val="24"/>
          <w:szCs w:val="24"/>
          <w:lang w:eastAsia="it-IT"/>
        </w:rPr>
        <w:t>.</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Personale non di ruolo (supplenze brevi):</w:t>
      </w:r>
    </w:p>
    <w:p w:rsidR="00D836B0" w:rsidRDefault="00D836B0" w:rsidP="00D836B0">
      <w:pPr>
        <w:numPr>
          <w:ilvl w:val="0"/>
          <w:numId w:val="9"/>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Retribuzione al </w:t>
      </w:r>
      <w:r w:rsidRPr="00D836B0">
        <w:rPr>
          <w:rFonts w:ascii="Times New Roman" w:eastAsia="Times New Roman" w:hAnsi="Times New Roman" w:cs="Times New Roman"/>
          <w:b/>
          <w:bCs/>
          <w:color w:val="000000"/>
          <w:sz w:val="24"/>
          <w:szCs w:val="24"/>
          <w:lang w:eastAsia="it-IT"/>
        </w:rPr>
        <w:t>50%</w:t>
      </w:r>
      <w:r w:rsidRPr="00D836B0">
        <w:rPr>
          <w:rFonts w:ascii="Times New Roman" w:eastAsia="Times New Roman" w:hAnsi="Times New Roman" w:cs="Times New Roman"/>
          <w:color w:val="000000"/>
          <w:sz w:val="24"/>
          <w:szCs w:val="24"/>
          <w:lang w:eastAsia="it-IT"/>
        </w:rPr>
        <w:t> per un massimo di 30 giorni annuali.</w:t>
      </w:r>
    </w:p>
    <w:p w:rsidR="00D836B0" w:rsidRPr="00D836B0" w:rsidRDefault="00D836B0" w:rsidP="00D836B0">
      <w:pPr>
        <w:spacing w:after="0" w:line="240" w:lineRule="auto"/>
        <w:ind w:left="-60"/>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6. Superamento del Periodo di Comporto</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Le conseguenze del superamento del periodo massimo di assenza per malattia sono diverse a seconda del settore. Una volta superati i limiti massimi del periodo di comporto, l’amministrazione può procedere alla </w:t>
      </w:r>
      <w:r w:rsidRPr="00D836B0">
        <w:rPr>
          <w:rFonts w:ascii="Times New Roman" w:eastAsia="Times New Roman" w:hAnsi="Times New Roman" w:cs="Times New Roman"/>
          <w:b/>
          <w:bCs/>
          <w:color w:val="000000"/>
          <w:sz w:val="24"/>
          <w:szCs w:val="24"/>
          <w:lang w:eastAsia="it-IT"/>
        </w:rPr>
        <w:t>risoluzione del rapporto di lavoro</w:t>
      </w:r>
      <w:r w:rsidRPr="00D836B0">
        <w:rPr>
          <w:rFonts w:ascii="Times New Roman" w:eastAsia="Times New Roman" w:hAnsi="Times New Roman" w:cs="Times New Roman"/>
          <w:color w:val="000000"/>
          <w:sz w:val="24"/>
          <w:szCs w:val="24"/>
          <w:lang w:eastAsia="it-IT"/>
        </w:rPr>
        <w:t>. Se il dipendente viene dichiarato permanentemente inidoneo alla sua funzione per motivi di salute, ma idoneo ad altri compiti, può presentare domanda per essere utilizzato in altre mansioni. La mancata presentazione di tale domanda autorizza l’amministrazione a risolvere il rapporto di lavoro.</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lastRenderedPageBreak/>
        <w:t>7. Cosa succede se un dipendente non viene trovato durante le sue fasce di reperibilità?</w:t>
      </w:r>
    </w:p>
    <w:p w:rsid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L’assenza ingiustificata del dipendente pubblico durante le fasce orarie di reperibilità per la visita medica di controllo comporta una serie di conseguenze, sia di natura economica che disciplinare. La normativa e la contrattazione collettiva del comparto Istruzione e Ricerca delineano un quadro preciso di sanzioni e procedure.</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1. Sanzioni Economiche</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L’assenza ingiustificata alla visita fiscale determina l’applicazione di sanzioni economiche progressive, che incidono direttamente sul trattamento economico di malattia del dipendente.</w:t>
      </w:r>
    </w:p>
    <w:p w:rsidR="00D836B0" w:rsidRPr="00D836B0" w:rsidRDefault="00D836B0" w:rsidP="00D836B0">
      <w:pPr>
        <w:numPr>
          <w:ilvl w:val="0"/>
          <w:numId w:val="10"/>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Prima assenza ingiustificata:</w:t>
      </w:r>
      <w:r w:rsidRPr="00D836B0">
        <w:rPr>
          <w:rFonts w:ascii="Times New Roman" w:eastAsia="Times New Roman" w:hAnsi="Times New Roman" w:cs="Times New Roman"/>
          <w:color w:val="000000"/>
          <w:sz w:val="24"/>
          <w:szCs w:val="24"/>
          <w:lang w:eastAsia="it-IT"/>
        </w:rPr>
        <w:t> Comporta la perdita totale di qualsiasi trattamento economico per i primi 10 giorni di malattia. L’INPS non eroga l’indennità per un massimo di 10 giorni di calendario a partire dall’inizio dell’evento di malattia.</w:t>
      </w:r>
    </w:p>
    <w:p w:rsidR="00D836B0" w:rsidRPr="00D836B0" w:rsidRDefault="00D836B0" w:rsidP="00D836B0">
      <w:pPr>
        <w:numPr>
          <w:ilvl w:val="0"/>
          <w:numId w:val="10"/>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Seconda assenza ingiustificata:</w:t>
      </w:r>
      <w:r w:rsidRPr="00D836B0">
        <w:rPr>
          <w:rFonts w:ascii="Times New Roman" w:eastAsia="Times New Roman" w:hAnsi="Times New Roman" w:cs="Times New Roman"/>
          <w:color w:val="000000"/>
          <w:sz w:val="24"/>
          <w:szCs w:val="24"/>
          <w:lang w:eastAsia="it-IT"/>
        </w:rPr>
        <w:t> Se il dipendente risulta nuovamente assente a una seconda visita di controllo, la sanzione consiste nella riduzione del 50% del trattamento economico per il restante periodo di malattia.</w:t>
      </w:r>
    </w:p>
    <w:p w:rsidR="00D836B0" w:rsidRPr="00D836B0" w:rsidRDefault="00D836B0" w:rsidP="00D836B0">
      <w:pPr>
        <w:numPr>
          <w:ilvl w:val="0"/>
          <w:numId w:val="10"/>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Terza assenza ingiustificata:</w:t>
      </w:r>
      <w:r w:rsidRPr="00D836B0">
        <w:rPr>
          <w:rFonts w:ascii="Times New Roman" w:eastAsia="Times New Roman" w:hAnsi="Times New Roman" w:cs="Times New Roman"/>
          <w:color w:val="000000"/>
          <w:sz w:val="24"/>
          <w:szCs w:val="24"/>
          <w:lang w:eastAsia="it-IT"/>
        </w:rPr>
        <w:t> In questo caso, l’indennità di malattia viene interrotta al 100% a partire dalla data della terza assenza.</w:t>
      </w:r>
    </w:p>
    <w:p w:rsid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È importante sottolineare che la decurtazione economica è una conseguenza automatica della violazione dell’obbligo di reperibilità e non una sanzione disciplinare in senso stretto.</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2. Conseguenze Disciplinari</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Oltre alle sanzioni economiche, l’assenza ingiustificata alla visita di controllo costituisce un’infrazione dei doveri del dipendente e può dare avvio a un procedimento disciplinare da parte del datore di lavoro (l’istituzione scolastica).</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Il CCNL del comparto Istruzione e Ricerca 2019-2021, nel suo codice disciplinare, prevede sanzioni per l’</w:t>
      </w:r>
      <w:r w:rsidRPr="00D836B0">
        <w:rPr>
          <w:rFonts w:ascii="Times New Roman" w:eastAsia="Times New Roman" w:hAnsi="Times New Roman" w:cs="Times New Roman"/>
          <w:b/>
          <w:bCs/>
          <w:color w:val="000000"/>
          <w:sz w:val="24"/>
          <w:szCs w:val="24"/>
          <w:lang w:eastAsia="it-IT"/>
        </w:rPr>
        <w:t>inosservanza delle disposizioni di servizio</w:t>
      </w:r>
      <w:r w:rsidRPr="00D836B0">
        <w:rPr>
          <w:rFonts w:ascii="Times New Roman" w:eastAsia="Times New Roman" w:hAnsi="Times New Roman" w:cs="Times New Roman"/>
          <w:color w:val="000000"/>
          <w:sz w:val="24"/>
          <w:szCs w:val="24"/>
          <w:lang w:eastAsia="it-IT"/>
        </w:rPr>
        <w:t> e per l’</w:t>
      </w:r>
      <w:r w:rsidRPr="00D836B0">
        <w:rPr>
          <w:rFonts w:ascii="Times New Roman" w:eastAsia="Times New Roman" w:hAnsi="Times New Roman" w:cs="Times New Roman"/>
          <w:b/>
          <w:bCs/>
          <w:color w:val="000000"/>
          <w:sz w:val="24"/>
          <w:szCs w:val="24"/>
          <w:lang w:eastAsia="it-IT"/>
        </w:rPr>
        <w:t>assenza ingiustificata dal servizio</w:t>
      </w:r>
      <w:r w:rsidRPr="00D836B0">
        <w:rPr>
          <w:rFonts w:ascii="Times New Roman" w:eastAsia="Times New Roman" w:hAnsi="Times New Roman" w:cs="Times New Roman"/>
          <w:color w:val="000000"/>
          <w:sz w:val="24"/>
          <w:szCs w:val="24"/>
          <w:lang w:eastAsia="it-IT"/>
        </w:rPr>
        <w:t>, fattispecie in cui può rientrare la mancata reperibilità. La giurisprudenza ha confermato che la violazione dell’obbligo di reperibilità costituisce una ragione autonoma e sufficiente non solo per la perdita del trattamento economico, ma anche per l’irrogazione di sanzioni disciplinari, che possono arrivare fino al licenziamento nei casi più gravi.</w:t>
      </w:r>
    </w:p>
    <w:p w:rsid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La valutazione finale sulla validità della giustificazione e sull’eventuale avvio del procedimento disciplinare spetta esclusivamente al datore di lavoro.</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p>
    <w:p w:rsidR="00D836B0" w:rsidRDefault="00D836B0" w:rsidP="00D836B0">
      <w:pPr>
        <w:spacing w:after="0" w:line="240" w:lineRule="auto"/>
        <w:jc w:val="both"/>
        <w:rPr>
          <w:rFonts w:ascii="Times New Roman" w:eastAsia="Times New Roman" w:hAnsi="Times New Roman" w:cs="Times New Roman"/>
          <w:b/>
          <w:bCs/>
          <w:color w:val="000000"/>
          <w:sz w:val="24"/>
          <w:szCs w:val="24"/>
          <w:lang w:eastAsia="it-IT"/>
        </w:rPr>
      </w:pPr>
      <w:r w:rsidRPr="00D836B0">
        <w:rPr>
          <w:rFonts w:ascii="Times New Roman" w:eastAsia="Times New Roman" w:hAnsi="Times New Roman" w:cs="Times New Roman"/>
          <w:b/>
          <w:bCs/>
          <w:color w:val="000000"/>
          <w:sz w:val="24"/>
          <w:szCs w:val="24"/>
          <w:lang w:eastAsia="it-IT"/>
        </w:rPr>
        <w:t>3. Procedura in Caso di Assenza</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Quando il medico fiscale non trova il dipendente al domicilio comunicato, si attiva una procedura specifica:</w:t>
      </w:r>
    </w:p>
    <w:p w:rsidR="00D836B0" w:rsidRPr="00D836B0" w:rsidRDefault="00D836B0" w:rsidP="00D836B0">
      <w:pPr>
        <w:numPr>
          <w:ilvl w:val="0"/>
          <w:numId w:val="11"/>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Il medico lascia al dipendente un avviso di mancata visita, con l’invito a presentarsi a una visita ambulatoriale di controllo, di norma il giorno successivo non festivo.</w:t>
      </w:r>
    </w:p>
    <w:p w:rsidR="00D836B0" w:rsidRPr="00D836B0" w:rsidRDefault="00D836B0" w:rsidP="00D836B0">
      <w:pPr>
        <w:numPr>
          <w:ilvl w:val="0"/>
          <w:numId w:val="11"/>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Il dipendente ha l’onere di giustificare la propria assenza al domicilio. La giustificazione deve essere presentata all’amministrazione di appartenenza (la scuola) entro 15 giorni.</w:t>
      </w:r>
    </w:p>
    <w:p w:rsidR="00D836B0" w:rsidRDefault="00D836B0" w:rsidP="00D836B0">
      <w:pPr>
        <w:numPr>
          <w:ilvl w:val="0"/>
          <w:numId w:val="11"/>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Se il dipendente si presenta alla visita ambulatoriale e viene confermato lo stato di malattia, ciò non sana l’irregolarità dell’assenza al domicilio. La trattenuta dello stipendio viene comunque operata se l’assenza domiciliare non è stata adeguatamente giustificata.</w:t>
      </w:r>
    </w:p>
    <w:p w:rsidR="00D836B0" w:rsidRPr="00D836B0" w:rsidRDefault="00D836B0" w:rsidP="00D836B0">
      <w:pPr>
        <w:spacing w:after="0" w:line="240" w:lineRule="auto"/>
        <w:ind w:left="-60"/>
        <w:jc w:val="both"/>
        <w:rPr>
          <w:rFonts w:ascii="Times New Roman" w:eastAsia="Times New Roman" w:hAnsi="Times New Roman" w:cs="Times New Roman"/>
          <w:color w:val="000000"/>
          <w:sz w:val="24"/>
          <w:szCs w:val="24"/>
          <w:lang w:eastAsia="it-IT"/>
        </w:rPr>
      </w:pPr>
    </w:p>
    <w:p w:rsidR="00D836B0" w:rsidRPr="00D836B0" w:rsidRDefault="00D836B0" w:rsidP="00D836B0">
      <w:pPr>
        <w:pStyle w:val="Paragrafoelenco"/>
        <w:numPr>
          <w:ilvl w:val="0"/>
          <w:numId w:val="11"/>
        </w:numPr>
        <w:tabs>
          <w:tab w:val="clear" w:pos="720"/>
          <w:tab w:val="num" w:pos="360"/>
        </w:tabs>
        <w:spacing w:after="0" w:line="240" w:lineRule="auto"/>
        <w:ind w:hanging="720"/>
        <w:jc w:val="both"/>
        <w:rPr>
          <w:rFonts w:ascii="Times New Roman" w:eastAsia="Times New Roman" w:hAnsi="Times New Roman" w:cs="Times New Roman"/>
          <w:b/>
          <w:bCs/>
          <w:color w:val="000000"/>
          <w:sz w:val="24"/>
          <w:szCs w:val="24"/>
          <w:lang w:eastAsia="it-IT"/>
        </w:rPr>
      </w:pPr>
      <w:r w:rsidRPr="00D836B0">
        <w:rPr>
          <w:rFonts w:ascii="Times New Roman" w:eastAsia="Times New Roman" w:hAnsi="Times New Roman" w:cs="Times New Roman"/>
          <w:b/>
          <w:bCs/>
          <w:color w:val="000000"/>
          <w:sz w:val="24"/>
          <w:szCs w:val="24"/>
          <w:lang w:eastAsia="it-IT"/>
        </w:rPr>
        <w:t>Motivi di Giustificazione dell’Assenza</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L’assenza dal domicilio durante le fasce di reperibilità è considerata giustificata solo in presenza di motivi validi, che il dipendente ha l’obbligo di documentare rigorosamente. Tra i motivi riconosciuti rientrano:</w:t>
      </w:r>
    </w:p>
    <w:p w:rsidR="00D836B0" w:rsidRPr="00D836B0" w:rsidRDefault="00D836B0" w:rsidP="00D836B0">
      <w:pPr>
        <w:numPr>
          <w:ilvl w:val="0"/>
          <w:numId w:val="12"/>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Causa di forza maggiore:</w:t>
      </w:r>
      <w:r w:rsidRPr="00D836B0">
        <w:rPr>
          <w:rFonts w:ascii="Times New Roman" w:eastAsia="Times New Roman" w:hAnsi="Times New Roman" w:cs="Times New Roman"/>
          <w:color w:val="000000"/>
          <w:sz w:val="24"/>
          <w:szCs w:val="24"/>
          <w:lang w:eastAsia="it-IT"/>
        </w:rPr>
        <w:t> Un evento imprevedibile e inevitabile.</w:t>
      </w:r>
    </w:p>
    <w:p w:rsidR="00D836B0" w:rsidRPr="00D836B0" w:rsidRDefault="00D836B0" w:rsidP="00D836B0">
      <w:pPr>
        <w:numPr>
          <w:ilvl w:val="0"/>
          <w:numId w:val="12"/>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Visite mediche, prestazioni o accertamenti specialistici:</w:t>
      </w:r>
      <w:r w:rsidRPr="00D836B0">
        <w:rPr>
          <w:rFonts w:ascii="Times New Roman" w:eastAsia="Times New Roman" w:hAnsi="Times New Roman" w:cs="Times New Roman"/>
          <w:color w:val="000000"/>
          <w:sz w:val="24"/>
          <w:szCs w:val="24"/>
          <w:lang w:eastAsia="it-IT"/>
        </w:rPr>
        <w:t xml:space="preserve"> L’assenza è giustificata se il dipendente dimostra che tali prestazioni non potevano essere effettuate in orari diversi da quelli </w:t>
      </w:r>
      <w:r w:rsidRPr="00D836B0">
        <w:rPr>
          <w:rFonts w:ascii="Times New Roman" w:eastAsia="Times New Roman" w:hAnsi="Times New Roman" w:cs="Times New Roman"/>
          <w:color w:val="000000"/>
          <w:sz w:val="24"/>
          <w:szCs w:val="24"/>
          <w:lang w:eastAsia="it-IT"/>
        </w:rPr>
        <w:lastRenderedPageBreak/>
        <w:t>delle fasce di reperibilità. La giurisprudenza richiede una prova rigorosa del carattere “indifferibile” della visita o del trattamento. Il CCNL prevede che l’assenza sia giustificata tramite l’attestazione di presenza rilasciata dalla struttura sanitaria.</w:t>
      </w:r>
    </w:p>
    <w:p w:rsidR="00D836B0" w:rsidRPr="00D836B0" w:rsidRDefault="00D836B0" w:rsidP="00D836B0">
      <w:pPr>
        <w:numPr>
          <w:ilvl w:val="0"/>
          <w:numId w:val="12"/>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Situazioni che rendono necessaria e indifferibile la presenza del lavoratore altrove:</w:t>
      </w:r>
      <w:r w:rsidRPr="00D836B0">
        <w:rPr>
          <w:rFonts w:ascii="Times New Roman" w:eastAsia="Times New Roman" w:hAnsi="Times New Roman" w:cs="Times New Roman"/>
          <w:color w:val="000000"/>
          <w:sz w:val="24"/>
          <w:szCs w:val="24"/>
          <w:lang w:eastAsia="it-IT"/>
        </w:rPr>
        <w:t> Ad esempio, per prestare assistenza a un familiare.</w:t>
      </w:r>
    </w:p>
    <w:p w:rsid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Al contrario, non sono considerate giustificazioni valide circostanze come il guasto del campanello o il cambio di domicilio non comunicato tempestivamente all’amministrazione.</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bookmarkStart w:id="0" w:name="_GoBack"/>
      <w:bookmarkEnd w:id="0"/>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5. Casi di Esenzione dall’Obbligo di Reperibilità</w:t>
      </w:r>
    </w:p>
    <w:p w:rsidR="00D836B0" w:rsidRPr="00D836B0" w:rsidRDefault="00D836B0" w:rsidP="00D836B0">
      <w:pPr>
        <w:spacing w:after="0" w:line="240" w:lineRule="auto"/>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color w:val="000000"/>
          <w:sz w:val="24"/>
          <w:szCs w:val="24"/>
          <w:lang w:eastAsia="it-IT"/>
        </w:rPr>
        <w:t>Esistono specifiche circostanze in cui il dipendente è esonerato dall’obbligo di rispettare le fasce di reperibilità. In questi casi, l’amministrazione non dovrebbe richiedere la visita fiscale e, qualora avvenisse, l’eventuale assenza non comporterebbe sanzioni. Le principali cause di esenzione sono:</w:t>
      </w:r>
    </w:p>
    <w:p w:rsidR="00D836B0" w:rsidRPr="00D836B0" w:rsidRDefault="00D836B0" w:rsidP="00D836B0">
      <w:pPr>
        <w:numPr>
          <w:ilvl w:val="0"/>
          <w:numId w:val="13"/>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Patologie gravi che richiedono terapie salvavita.</w:t>
      </w:r>
    </w:p>
    <w:p w:rsidR="00D836B0" w:rsidRPr="00D836B0" w:rsidRDefault="00D836B0" w:rsidP="00D836B0">
      <w:pPr>
        <w:numPr>
          <w:ilvl w:val="0"/>
          <w:numId w:val="13"/>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Infortunio sul lavoro</w:t>
      </w:r>
      <w:r w:rsidRPr="00D836B0">
        <w:rPr>
          <w:rFonts w:ascii="Times New Roman" w:eastAsia="Times New Roman" w:hAnsi="Times New Roman" w:cs="Times New Roman"/>
          <w:color w:val="000000"/>
          <w:sz w:val="24"/>
          <w:szCs w:val="24"/>
          <w:lang w:eastAsia="it-IT"/>
        </w:rPr>
        <w:t>.</w:t>
      </w:r>
    </w:p>
    <w:p w:rsidR="00D836B0" w:rsidRPr="00D836B0" w:rsidRDefault="00D836B0" w:rsidP="00D836B0">
      <w:pPr>
        <w:numPr>
          <w:ilvl w:val="0"/>
          <w:numId w:val="13"/>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Malattie per cui è stata riconosciuta la causa di servizio.</w:t>
      </w:r>
    </w:p>
    <w:p w:rsidR="00D836B0" w:rsidRPr="00D836B0" w:rsidRDefault="00D836B0" w:rsidP="00D836B0">
      <w:pPr>
        <w:numPr>
          <w:ilvl w:val="0"/>
          <w:numId w:val="13"/>
        </w:numPr>
        <w:spacing w:after="0" w:line="240" w:lineRule="auto"/>
        <w:ind w:left="300"/>
        <w:jc w:val="both"/>
        <w:rPr>
          <w:rFonts w:ascii="Times New Roman" w:eastAsia="Times New Roman" w:hAnsi="Times New Roman" w:cs="Times New Roman"/>
          <w:color w:val="000000"/>
          <w:sz w:val="24"/>
          <w:szCs w:val="24"/>
          <w:lang w:eastAsia="it-IT"/>
        </w:rPr>
      </w:pPr>
      <w:r w:rsidRPr="00D836B0">
        <w:rPr>
          <w:rFonts w:ascii="Times New Roman" w:eastAsia="Times New Roman" w:hAnsi="Times New Roman" w:cs="Times New Roman"/>
          <w:b/>
          <w:bCs/>
          <w:color w:val="000000"/>
          <w:sz w:val="24"/>
          <w:szCs w:val="24"/>
          <w:lang w:eastAsia="it-IT"/>
        </w:rPr>
        <w:t>Stati patologici sottesi o connessi a una situazione di invalidità riconosciuta, in misura pari o superiore al 67%</w:t>
      </w:r>
      <w:r w:rsidRPr="00D836B0">
        <w:rPr>
          <w:rFonts w:ascii="Times New Roman" w:eastAsia="Times New Roman" w:hAnsi="Times New Roman" w:cs="Times New Roman"/>
          <w:color w:val="000000"/>
          <w:sz w:val="24"/>
          <w:szCs w:val="24"/>
          <w:lang w:eastAsia="it-IT"/>
        </w:rPr>
        <w:t>.</w:t>
      </w:r>
    </w:p>
    <w:sectPr w:rsidR="00D836B0" w:rsidRPr="00D836B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2715C"/>
    <w:multiLevelType w:val="multilevel"/>
    <w:tmpl w:val="63B0B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238DC"/>
    <w:multiLevelType w:val="multilevel"/>
    <w:tmpl w:val="1D6A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551D4"/>
    <w:multiLevelType w:val="multilevel"/>
    <w:tmpl w:val="F17C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A2BB6"/>
    <w:multiLevelType w:val="multilevel"/>
    <w:tmpl w:val="3D485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045818"/>
    <w:multiLevelType w:val="multilevel"/>
    <w:tmpl w:val="BFB0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257BA"/>
    <w:multiLevelType w:val="multilevel"/>
    <w:tmpl w:val="8CC4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83E83"/>
    <w:multiLevelType w:val="multilevel"/>
    <w:tmpl w:val="B87A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C57649"/>
    <w:multiLevelType w:val="multilevel"/>
    <w:tmpl w:val="4724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C87904"/>
    <w:multiLevelType w:val="multilevel"/>
    <w:tmpl w:val="9CBE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1F53A1"/>
    <w:multiLevelType w:val="multilevel"/>
    <w:tmpl w:val="F7C6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EA717E"/>
    <w:multiLevelType w:val="multilevel"/>
    <w:tmpl w:val="870C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E730AC"/>
    <w:multiLevelType w:val="multilevel"/>
    <w:tmpl w:val="FDDA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471F3E"/>
    <w:multiLevelType w:val="multilevel"/>
    <w:tmpl w:val="7518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9"/>
  </w:num>
  <w:num w:numId="4">
    <w:abstractNumId w:val="5"/>
  </w:num>
  <w:num w:numId="5">
    <w:abstractNumId w:val="1"/>
  </w:num>
  <w:num w:numId="6">
    <w:abstractNumId w:val="10"/>
  </w:num>
  <w:num w:numId="7">
    <w:abstractNumId w:val="4"/>
  </w:num>
  <w:num w:numId="8">
    <w:abstractNumId w:val="2"/>
  </w:num>
  <w:num w:numId="9">
    <w:abstractNumId w:val="8"/>
  </w:num>
  <w:num w:numId="10">
    <w:abstractNumId w:val="6"/>
  </w:num>
  <w:num w:numId="11">
    <w:abstractNumId w:val="3"/>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6B0"/>
    <w:rsid w:val="00B636FA"/>
    <w:rsid w:val="00D836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2F966"/>
  <w15:chartTrackingRefBased/>
  <w15:docId w15:val="{8F3E720D-F08E-4095-9B1A-81CE1699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836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2333106">
      <w:bodyDiv w:val="1"/>
      <w:marLeft w:val="0"/>
      <w:marRight w:val="0"/>
      <w:marTop w:val="0"/>
      <w:marBottom w:val="0"/>
      <w:divBdr>
        <w:top w:val="none" w:sz="0" w:space="0" w:color="auto"/>
        <w:left w:val="none" w:sz="0" w:space="0" w:color="auto"/>
        <w:bottom w:val="none" w:sz="0" w:space="0" w:color="auto"/>
        <w:right w:val="none" w:sz="0" w:space="0" w:color="auto"/>
      </w:divBdr>
      <w:divsChild>
        <w:div w:id="1628732818">
          <w:marLeft w:val="300"/>
          <w:marRight w:val="0"/>
          <w:marTop w:val="0"/>
          <w:marBottom w:val="0"/>
          <w:divBdr>
            <w:top w:val="none" w:sz="0" w:space="0" w:color="auto"/>
            <w:left w:val="none" w:sz="0" w:space="0" w:color="auto"/>
            <w:bottom w:val="none" w:sz="0" w:space="0" w:color="auto"/>
            <w:right w:val="none" w:sz="0" w:space="0" w:color="auto"/>
          </w:divBdr>
          <w:divsChild>
            <w:div w:id="1180850128">
              <w:marLeft w:val="0"/>
              <w:marRight w:val="0"/>
              <w:marTop w:val="0"/>
              <w:marBottom w:val="0"/>
              <w:divBdr>
                <w:top w:val="none" w:sz="0" w:space="0" w:color="auto"/>
                <w:left w:val="none" w:sz="0" w:space="0" w:color="auto"/>
                <w:bottom w:val="none" w:sz="0" w:space="0" w:color="auto"/>
                <w:right w:val="none" w:sz="0" w:space="0" w:color="auto"/>
              </w:divBdr>
              <w:divsChild>
                <w:div w:id="103489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1711</Words>
  <Characters>9753</Characters>
  <Application>Microsoft Office Word</Application>
  <DocSecurity>0</DocSecurity>
  <Lines>81</Lines>
  <Paragraphs>22</Paragraphs>
  <ScaleCrop>false</ScaleCrop>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2026-05-02T15:03:00Z</dcterms:created>
  <dcterms:modified xsi:type="dcterms:W3CDTF">2026-05-02T15:08:00Z</dcterms:modified>
</cp:coreProperties>
</file>