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E1CDC" w:rsidRPr="00AE1CDC" w:rsidRDefault="00AE1CDC" w:rsidP="00AE1CDC">
      <w:pPr>
        <w:shd w:val="clear" w:color="auto" w:fill="FFFFFF"/>
        <w:spacing w:line="240" w:lineRule="auto"/>
        <w:jc w:val="center"/>
        <w:outlineLvl w:val="0"/>
        <w:rPr>
          <w:rFonts w:ascii="Times New Roman" w:eastAsia="Times New Roman" w:hAnsi="Times New Roman" w:cs="Times New Roman"/>
          <w:b/>
          <w:bCs/>
          <w:caps/>
          <w:color w:val="111111"/>
          <w:kern w:val="36"/>
          <w:sz w:val="28"/>
          <w:szCs w:val="28"/>
          <w:lang w:eastAsia="it-IT"/>
        </w:rPr>
      </w:pPr>
      <w:bookmarkStart w:id="0" w:name="_GoBack"/>
      <w:r w:rsidRPr="00AE1CDC">
        <w:rPr>
          <w:rFonts w:ascii="Times New Roman" w:eastAsia="Times New Roman" w:hAnsi="Times New Roman" w:cs="Times New Roman"/>
          <w:b/>
          <w:bCs/>
          <w:caps/>
          <w:color w:val="111111"/>
          <w:kern w:val="36"/>
          <w:sz w:val="28"/>
          <w:szCs w:val="28"/>
          <w:lang w:eastAsia="it-IT"/>
        </w:rPr>
        <w:t>Elenchi regionali docenti,</w:t>
      </w:r>
    </w:p>
    <w:bookmarkEnd w:id="0"/>
    <w:p w:rsidR="00AE1CDC" w:rsidRPr="00AE1CDC" w:rsidRDefault="00AE1CDC" w:rsidP="00AE1CDC">
      <w:pPr>
        <w:shd w:val="clear" w:color="auto" w:fill="FFFFFF"/>
        <w:spacing w:line="240" w:lineRule="auto"/>
        <w:outlineLvl w:val="0"/>
        <w:rPr>
          <w:rFonts w:ascii="Times New Roman" w:eastAsia="Times New Roman" w:hAnsi="Times New Roman" w:cs="Times New Roman"/>
          <w:b/>
          <w:bCs/>
          <w:caps/>
          <w:color w:val="111111"/>
          <w:kern w:val="36"/>
          <w:sz w:val="28"/>
          <w:szCs w:val="28"/>
          <w:lang w:eastAsia="it-IT"/>
        </w:rPr>
      </w:pPr>
      <w:r w:rsidRPr="00AE1CDC">
        <w:rPr>
          <w:rFonts w:ascii="Times New Roman" w:eastAsia="Times New Roman" w:hAnsi="Times New Roman" w:cs="Times New Roman"/>
          <w:b/>
          <w:bCs/>
          <w:caps/>
          <w:color w:val="111111"/>
          <w:kern w:val="36"/>
          <w:sz w:val="28"/>
          <w:szCs w:val="28"/>
          <w:lang w:eastAsia="it-IT"/>
        </w:rPr>
        <w:t>pubblicato il decreto: requisiti, domanda e assunzioni</w:t>
      </w:r>
    </w:p>
    <w:p w:rsidR="00AE1CDC" w:rsidRPr="00AE1CDC" w:rsidRDefault="00AE1CDC" w:rsidP="00AE1CDC">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AE1CDC">
        <w:rPr>
          <w:rFonts w:ascii="Times New Roman" w:eastAsia="Times New Roman" w:hAnsi="Times New Roman" w:cs="Times New Roman"/>
          <w:color w:val="000000"/>
          <w:sz w:val="24"/>
          <w:szCs w:val="24"/>
          <w:lang w:eastAsia="it-IT"/>
        </w:rPr>
        <w:t>Il Ministero dell’Istruzione e del Merito ha pubblicato il </w:t>
      </w:r>
      <w:r w:rsidRPr="00AE1CDC">
        <w:rPr>
          <w:rFonts w:ascii="Times New Roman" w:eastAsia="Times New Roman" w:hAnsi="Times New Roman" w:cs="Times New Roman"/>
          <w:b/>
          <w:bCs/>
          <w:color w:val="000000"/>
          <w:sz w:val="24"/>
          <w:szCs w:val="24"/>
          <w:lang w:eastAsia="it-IT"/>
        </w:rPr>
        <w:t>Decreto Ministeriale n. 68 del 22 aprile 2026</w:t>
      </w:r>
      <w:r w:rsidRPr="00AE1CDC">
        <w:rPr>
          <w:rFonts w:ascii="Times New Roman" w:eastAsia="Times New Roman" w:hAnsi="Times New Roman" w:cs="Times New Roman"/>
          <w:color w:val="000000"/>
          <w:sz w:val="24"/>
          <w:szCs w:val="24"/>
          <w:lang w:eastAsia="it-IT"/>
        </w:rPr>
        <w:t>, attuativo dell’articolo 2, comma 2, del DL 45/2025, con cui vengono istituiti i nuovi elenchi regionali per il reclutamento dei docenti.</w:t>
      </w:r>
    </w:p>
    <w:p w:rsidR="00AE1CDC" w:rsidRPr="00AE1CDC" w:rsidRDefault="00AE1CDC" w:rsidP="00AE1CDC">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AE1CDC">
        <w:rPr>
          <w:rFonts w:ascii="Times New Roman" w:eastAsia="Times New Roman" w:hAnsi="Times New Roman" w:cs="Times New Roman"/>
          <w:color w:val="000000"/>
          <w:sz w:val="24"/>
          <w:szCs w:val="24"/>
          <w:lang w:eastAsia="it-IT"/>
        </w:rPr>
        <w:t>Si tratta di uno strumento destinato a incidere in modo concreto sulle immissioni in ruolo, perché gli elenchi saranno utilizzati </w:t>
      </w:r>
      <w:r w:rsidRPr="00AE1CDC">
        <w:rPr>
          <w:rFonts w:ascii="Times New Roman" w:eastAsia="Times New Roman" w:hAnsi="Times New Roman" w:cs="Times New Roman"/>
          <w:b/>
          <w:bCs/>
          <w:color w:val="000000"/>
          <w:sz w:val="24"/>
          <w:szCs w:val="24"/>
          <w:lang w:eastAsia="it-IT"/>
        </w:rPr>
        <w:t>in subordine alle graduatorie concorsuali già esistenti</w:t>
      </w:r>
      <w:r w:rsidRPr="00AE1CDC">
        <w:rPr>
          <w:rFonts w:ascii="Times New Roman" w:eastAsia="Times New Roman" w:hAnsi="Times New Roman" w:cs="Times New Roman"/>
          <w:color w:val="000000"/>
          <w:sz w:val="24"/>
          <w:szCs w:val="24"/>
          <w:lang w:eastAsia="it-IT"/>
        </w:rPr>
        <w:t>, ampliando di fatto le possibilità di assunzione per chi ha partecipato ai concorsi negli ultimi anni.</w:t>
      </w:r>
    </w:p>
    <w:p w:rsidR="00AE1CDC" w:rsidRPr="00AE1CDC" w:rsidRDefault="00AE1CDC" w:rsidP="00AE1CDC">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AE1CDC">
        <w:rPr>
          <w:rFonts w:ascii="Times New Roman" w:eastAsia="Times New Roman" w:hAnsi="Times New Roman" w:cs="Times New Roman"/>
          <w:color w:val="000000"/>
          <w:sz w:val="24"/>
          <w:szCs w:val="24"/>
          <w:lang w:eastAsia="it-IT"/>
        </w:rPr>
        <w:t>Gli elenchi regionali sono graduatorie aggiornabili annualmente, organizzate per grado di scuola, tipologia di posto e classe di concorso.</w:t>
      </w:r>
    </w:p>
    <w:p w:rsidR="00AE1CDC" w:rsidRPr="00AE1CDC" w:rsidRDefault="00AE1CDC" w:rsidP="00AE1CDC">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AE1CDC">
        <w:rPr>
          <w:rFonts w:ascii="Times New Roman" w:eastAsia="Times New Roman" w:hAnsi="Times New Roman" w:cs="Times New Roman"/>
          <w:color w:val="000000"/>
          <w:sz w:val="24"/>
          <w:szCs w:val="24"/>
          <w:lang w:eastAsia="it-IT"/>
        </w:rPr>
        <w:t>La loro funzione è quella di consentire l’immissione in ruolo dei docenti </w:t>
      </w:r>
      <w:r w:rsidRPr="00AE1CDC">
        <w:rPr>
          <w:rFonts w:ascii="Times New Roman" w:eastAsia="Times New Roman" w:hAnsi="Times New Roman" w:cs="Times New Roman"/>
          <w:b/>
          <w:bCs/>
          <w:color w:val="000000"/>
          <w:sz w:val="24"/>
          <w:szCs w:val="24"/>
          <w:lang w:eastAsia="it-IT"/>
        </w:rPr>
        <w:t>una volta esaurite le graduatorie di merito dei concorsi</w:t>
      </w:r>
      <w:r w:rsidRPr="00AE1CDC">
        <w:rPr>
          <w:rFonts w:ascii="Times New Roman" w:eastAsia="Times New Roman" w:hAnsi="Times New Roman" w:cs="Times New Roman"/>
          <w:color w:val="000000"/>
          <w:sz w:val="24"/>
          <w:szCs w:val="24"/>
          <w:lang w:eastAsia="it-IT"/>
        </w:rPr>
        <w:t> ancora vigenti.</w:t>
      </w:r>
    </w:p>
    <w:p w:rsidR="00AE1CDC" w:rsidRPr="00AE1CDC" w:rsidRDefault="00AE1CDC" w:rsidP="00AE1CDC">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AE1CDC">
        <w:rPr>
          <w:rFonts w:ascii="Times New Roman" w:eastAsia="Times New Roman" w:hAnsi="Times New Roman" w:cs="Times New Roman"/>
          <w:color w:val="000000"/>
          <w:sz w:val="24"/>
          <w:szCs w:val="24"/>
          <w:lang w:eastAsia="it-IT"/>
        </w:rPr>
        <w:t>In pratica, rappresentano un “secondo canale” di reclutamento che entra in gioco quando le graduatorie principali non sono più sufficienti a coprire i posti disponibili.</w:t>
      </w:r>
    </w:p>
    <w:p w:rsidR="00AE1CDC" w:rsidRPr="00AE1CDC" w:rsidRDefault="00AE1CDC" w:rsidP="00AE1CDC">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AE1CDC">
        <w:rPr>
          <w:rFonts w:ascii="Times New Roman" w:eastAsia="Times New Roman" w:hAnsi="Times New Roman" w:cs="Times New Roman"/>
          <w:color w:val="000000"/>
          <w:sz w:val="24"/>
          <w:szCs w:val="24"/>
          <w:lang w:eastAsia="it-IT"/>
        </w:rPr>
        <w:t>Potranno chiedere l’iscrizione agli elenchi regionali i candidati che soddisfano </w:t>
      </w:r>
      <w:r w:rsidRPr="00AE1CDC">
        <w:rPr>
          <w:rFonts w:ascii="Times New Roman" w:eastAsia="Times New Roman" w:hAnsi="Times New Roman" w:cs="Times New Roman"/>
          <w:b/>
          <w:bCs/>
          <w:color w:val="000000"/>
          <w:sz w:val="24"/>
          <w:szCs w:val="24"/>
          <w:lang w:eastAsia="it-IT"/>
        </w:rPr>
        <w:t>congiuntamente tre requisiti fondamentali</w:t>
      </w:r>
      <w:r w:rsidRPr="00AE1CDC">
        <w:rPr>
          <w:rFonts w:ascii="Times New Roman" w:eastAsia="Times New Roman" w:hAnsi="Times New Roman" w:cs="Times New Roman"/>
          <w:color w:val="000000"/>
          <w:sz w:val="24"/>
          <w:szCs w:val="24"/>
          <w:lang w:eastAsia="it-IT"/>
        </w:rPr>
        <w:t>.</w:t>
      </w:r>
    </w:p>
    <w:p w:rsidR="00AE1CDC" w:rsidRPr="00AE1CDC" w:rsidRDefault="00AE1CDC" w:rsidP="00AE1CDC">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AE1CDC">
        <w:rPr>
          <w:rFonts w:ascii="Times New Roman" w:eastAsia="Times New Roman" w:hAnsi="Times New Roman" w:cs="Times New Roman"/>
          <w:color w:val="000000"/>
          <w:sz w:val="24"/>
          <w:szCs w:val="24"/>
          <w:lang w:eastAsia="it-IT"/>
        </w:rPr>
        <w:t>È necessario aver preso parte ad almeno una delle procedure concorsuali per posti comuni o di sostegno nella scuola dell’infanzia, primaria o secondaria, bandite a partire dal </w:t>
      </w:r>
      <w:r w:rsidRPr="00AE1CDC">
        <w:rPr>
          <w:rFonts w:ascii="Times New Roman" w:eastAsia="Times New Roman" w:hAnsi="Times New Roman" w:cs="Times New Roman"/>
          <w:b/>
          <w:bCs/>
          <w:color w:val="000000"/>
          <w:sz w:val="24"/>
          <w:szCs w:val="24"/>
          <w:lang w:eastAsia="it-IT"/>
        </w:rPr>
        <w:t>1° gennaio 2020</w:t>
      </w:r>
      <w:r w:rsidRPr="00AE1CDC">
        <w:rPr>
          <w:rFonts w:ascii="Times New Roman" w:eastAsia="Times New Roman" w:hAnsi="Times New Roman" w:cs="Times New Roman"/>
          <w:color w:val="000000"/>
          <w:sz w:val="24"/>
          <w:szCs w:val="24"/>
          <w:lang w:eastAsia="it-IT"/>
        </w:rPr>
        <w:t>, con graduatoria pubblicata entro il </w:t>
      </w:r>
      <w:r w:rsidRPr="00AE1CDC">
        <w:rPr>
          <w:rFonts w:ascii="Times New Roman" w:eastAsia="Times New Roman" w:hAnsi="Times New Roman" w:cs="Times New Roman"/>
          <w:b/>
          <w:bCs/>
          <w:color w:val="000000"/>
          <w:sz w:val="24"/>
          <w:szCs w:val="24"/>
          <w:lang w:eastAsia="it-IT"/>
        </w:rPr>
        <w:t>31 agosto 2025</w:t>
      </w:r>
      <w:r w:rsidRPr="00AE1CDC">
        <w:rPr>
          <w:rFonts w:ascii="Times New Roman" w:eastAsia="Times New Roman" w:hAnsi="Times New Roman" w:cs="Times New Roman"/>
          <w:color w:val="000000"/>
          <w:sz w:val="24"/>
          <w:szCs w:val="24"/>
          <w:lang w:eastAsia="it-IT"/>
        </w:rPr>
        <w:t> oppure nel periodo compreso tra il </w:t>
      </w:r>
      <w:r w:rsidRPr="00AE1CDC">
        <w:rPr>
          <w:rFonts w:ascii="Times New Roman" w:eastAsia="Times New Roman" w:hAnsi="Times New Roman" w:cs="Times New Roman"/>
          <w:b/>
          <w:bCs/>
          <w:color w:val="000000"/>
          <w:sz w:val="24"/>
          <w:szCs w:val="24"/>
          <w:lang w:eastAsia="it-IT"/>
        </w:rPr>
        <w:t>1° settembre e il 10 dicembre 2025</w:t>
      </w:r>
      <w:r w:rsidRPr="00AE1CDC">
        <w:rPr>
          <w:rFonts w:ascii="Times New Roman" w:eastAsia="Times New Roman" w:hAnsi="Times New Roman" w:cs="Times New Roman"/>
          <w:color w:val="000000"/>
          <w:sz w:val="24"/>
          <w:szCs w:val="24"/>
          <w:lang w:eastAsia="it-IT"/>
        </w:rPr>
        <w:t>.</w:t>
      </w:r>
    </w:p>
    <w:p w:rsidR="00AE1CDC" w:rsidRPr="00AE1CDC" w:rsidRDefault="00AE1CDC" w:rsidP="00AE1CDC">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AE1CDC">
        <w:rPr>
          <w:rFonts w:ascii="Times New Roman" w:eastAsia="Times New Roman" w:hAnsi="Times New Roman" w:cs="Times New Roman"/>
          <w:color w:val="000000"/>
          <w:sz w:val="24"/>
          <w:szCs w:val="24"/>
          <w:lang w:eastAsia="it-IT"/>
        </w:rPr>
        <w:t>Tra le procedure interessate rientrano:</w:t>
      </w:r>
    </w:p>
    <w:tbl>
      <w:tblPr>
        <w:tblW w:w="1044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09"/>
        <w:gridCol w:w="6331"/>
      </w:tblGrid>
      <w:tr w:rsidR="00AE1CDC" w:rsidRPr="00AE1CDC" w:rsidTr="00AE1CDC">
        <w:trPr>
          <w:jc w:val="center"/>
        </w:trPr>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rsidR="00AE1CDC" w:rsidRPr="00AE1CDC" w:rsidRDefault="00AE1CDC" w:rsidP="00AE1CDC">
            <w:pPr>
              <w:spacing w:after="0" w:line="240" w:lineRule="auto"/>
              <w:rPr>
                <w:rFonts w:ascii="Times New Roman" w:eastAsia="Times New Roman" w:hAnsi="Times New Roman" w:cs="Times New Roman"/>
                <w:sz w:val="24"/>
                <w:szCs w:val="24"/>
                <w:lang w:eastAsia="it-IT"/>
              </w:rPr>
            </w:pPr>
            <w:r w:rsidRPr="00AE1CDC">
              <w:rPr>
                <w:rFonts w:ascii="Times New Roman" w:eastAsia="Times New Roman" w:hAnsi="Times New Roman" w:cs="Times New Roman"/>
                <w:sz w:val="24"/>
                <w:szCs w:val="24"/>
                <w:lang w:eastAsia="it-IT"/>
              </w:rPr>
              <w:t>concorsi ordinari 2020 + STEM</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rsidR="00AE1CDC" w:rsidRPr="00AE1CDC" w:rsidRDefault="00AE1CDC" w:rsidP="00AE1CDC">
            <w:pPr>
              <w:spacing w:after="0" w:line="240" w:lineRule="auto"/>
              <w:rPr>
                <w:rFonts w:ascii="Times New Roman" w:eastAsia="Times New Roman" w:hAnsi="Times New Roman" w:cs="Times New Roman"/>
                <w:sz w:val="24"/>
                <w:szCs w:val="24"/>
                <w:lang w:eastAsia="it-IT"/>
              </w:rPr>
            </w:pPr>
            <w:r w:rsidRPr="00AE1CDC">
              <w:rPr>
                <w:rFonts w:ascii="Times New Roman" w:eastAsia="Times New Roman" w:hAnsi="Times New Roman" w:cs="Times New Roman"/>
                <w:sz w:val="24"/>
                <w:szCs w:val="24"/>
                <w:lang w:eastAsia="it-IT"/>
              </w:rPr>
              <w:t>DD 498/499 del 21 aprile 2020 e DD 826 dell’11 giugno 2021</w:t>
            </w:r>
          </w:p>
        </w:tc>
      </w:tr>
      <w:tr w:rsidR="00AE1CDC" w:rsidRPr="00AE1CDC" w:rsidTr="00AE1CDC">
        <w:trPr>
          <w:jc w:val="center"/>
        </w:trPr>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rsidR="00AE1CDC" w:rsidRPr="00AE1CDC" w:rsidRDefault="00AE1CDC" w:rsidP="00AE1CDC">
            <w:pPr>
              <w:spacing w:after="0" w:line="240" w:lineRule="auto"/>
              <w:rPr>
                <w:rFonts w:ascii="Times New Roman" w:eastAsia="Times New Roman" w:hAnsi="Times New Roman" w:cs="Times New Roman"/>
                <w:sz w:val="24"/>
                <w:szCs w:val="24"/>
                <w:lang w:eastAsia="it-IT"/>
              </w:rPr>
            </w:pPr>
            <w:r w:rsidRPr="00AE1CDC">
              <w:rPr>
                <w:rFonts w:ascii="Times New Roman" w:eastAsia="Times New Roman" w:hAnsi="Times New Roman" w:cs="Times New Roman"/>
                <w:sz w:val="24"/>
                <w:szCs w:val="24"/>
                <w:lang w:eastAsia="it-IT"/>
              </w:rPr>
              <w:t>Concorso straordinario 2020</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rsidR="00AE1CDC" w:rsidRPr="00AE1CDC" w:rsidRDefault="00AE1CDC" w:rsidP="00AE1CDC">
            <w:pPr>
              <w:spacing w:after="0" w:line="240" w:lineRule="auto"/>
              <w:rPr>
                <w:rFonts w:ascii="Times New Roman" w:eastAsia="Times New Roman" w:hAnsi="Times New Roman" w:cs="Times New Roman"/>
                <w:sz w:val="24"/>
                <w:szCs w:val="24"/>
                <w:lang w:eastAsia="it-IT"/>
              </w:rPr>
            </w:pPr>
            <w:r w:rsidRPr="00AE1CDC">
              <w:rPr>
                <w:rFonts w:ascii="Times New Roman" w:eastAsia="Times New Roman" w:hAnsi="Times New Roman" w:cs="Times New Roman"/>
                <w:sz w:val="24"/>
                <w:szCs w:val="24"/>
                <w:lang w:eastAsia="it-IT"/>
              </w:rPr>
              <w:t>DD 510 del 23 aprile 2020</w:t>
            </w:r>
          </w:p>
        </w:tc>
      </w:tr>
      <w:tr w:rsidR="00AE1CDC" w:rsidRPr="00AE1CDC" w:rsidTr="00AE1CDC">
        <w:trPr>
          <w:jc w:val="center"/>
        </w:trPr>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rsidR="00AE1CDC" w:rsidRPr="00AE1CDC" w:rsidRDefault="00AE1CDC" w:rsidP="00AE1CDC">
            <w:pPr>
              <w:spacing w:after="0" w:line="240" w:lineRule="auto"/>
              <w:rPr>
                <w:rFonts w:ascii="Times New Roman" w:eastAsia="Times New Roman" w:hAnsi="Times New Roman" w:cs="Times New Roman"/>
                <w:sz w:val="24"/>
                <w:szCs w:val="24"/>
                <w:lang w:eastAsia="it-IT"/>
              </w:rPr>
            </w:pPr>
            <w:r w:rsidRPr="00AE1CDC">
              <w:rPr>
                <w:rFonts w:ascii="Times New Roman" w:eastAsia="Times New Roman" w:hAnsi="Times New Roman" w:cs="Times New Roman"/>
                <w:sz w:val="24"/>
                <w:szCs w:val="24"/>
                <w:lang w:eastAsia="it-IT"/>
              </w:rPr>
              <w:t>Concorso ordinario STEM 2022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rsidR="00AE1CDC" w:rsidRPr="00AE1CDC" w:rsidRDefault="00AE1CDC" w:rsidP="00AE1CDC">
            <w:pPr>
              <w:spacing w:after="0" w:line="240" w:lineRule="auto"/>
              <w:rPr>
                <w:rFonts w:ascii="Times New Roman" w:eastAsia="Times New Roman" w:hAnsi="Times New Roman" w:cs="Times New Roman"/>
                <w:sz w:val="24"/>
                <w:szCs w:val="24"/>
                <w:lang w:eastAsia="it-IT"/>
              </w:rPr>
            </w:pPr>
            <w:r w:rsidRPr="00AE1CDC">
              <w:rPr>
                <w:rFonts w:ascii="Times New Roman" w:eastAsia="Times New Roman" w:hAnsi="Times New Roman" w:cs="Times New Roman"/>
                <w:sz w:val="24"/>
                <w:szCs w:val="24"/>
                <w:lang w:eastAsia="it-IT"/>
              </w:rPr>
              <w:t>DD 252 del 31 gennaio 2022</w:t>
            </w:r>
          </w:p>
        </w:tc>
      </w:tr>
      <w:tr w:rsidR="00AE1CDC" w:rsidRPr="00AE1CDC" w:rsidTr="00AE1CDC">
        <w:trPr>
          <w:jc w:val="center"/>
        </w:trPr>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rsidR="00AE1CDC" w:rsidRPr="00AE1CDC" w:rsidRDefault="00AE1CDC" w:rsidP="00AE1CDC">
            <w:pPr>
              <w:spacing w:after="0" w:line="240" w:lineRule="auto"/>
              <w:rPr>
                <w:rFonts w:ascii="Times New Roman" w:eastAsia="Times New Roman" w:hAnsi="Times New Roman" w:cs="Times New Roman"/>
                <w:sz w:val="24"/>
                <w:szCs w:val="24"/>
                <w:lang w:eastAsia="it-IT"/>
              </w:rPr>
            </w:pPr>
            <w:r w:rsidRPr="00AE1CDC">
              <w:rPr>
                <w:rFonts w:ascii="Times New Roman" w:eastAsia="Times New Roman" w:hAnsi="Times New Roman" w:cs="Times New Roman"/>
                <w:sz w:val="24"/>
                <w:szCs w:val="24"/>
                <w:lang w:eastAsia="it-IT"/>
              </w:rPr>
              <w:t>Concorso ordinario educazione motoria</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rsidR="00AE1CDC" w:rsidRPr="00AE1CDC" w:rsidRDefault="00AE1CDC" w:rsidP="00AE1CDC">
            <w:pPr>
              <w:spacing w:after="0" w:line="240" w:lineRule="auto"/>
              <w:rPr>
                <w:rFonts w:ascii="Times New Roman" w:eastAsia="Times New Roman" w:hAnsi="Times New Roman" w:cs="Times New Roman"/>
                <w:sz w:val="24"/>
                <w:szCs w:val="24"/>
                <w:lang w:eastAsia="it-IT"/>
              </w:rPr>
            </w:pPr>
            <w:r w:rsidRPr="00AE1CDC">
              <w:rPr>
                <w:rFonts w:ascii="Times New Roman" w:eastAsia="Times New Roman" w:hAnsi="Times New Roman" w:cs="Times New Roman"/>
                <w:sz w:val="24"/>
                <w:szCs w:val="24"/>
                <w:lang w:eastAsia="it-IT"/>
              </w:rPr>
              <w:t>DD 1330 del 4 agosto 2023</w:t>
            </w:r>
          </w:p>
        </w:tc>
      </w:tr>
      <w:tr w:rsidR="00AE1CDC" w:rsidRPr="00AE1CDC" w:rsidTr="00AE1CDC">
        <w:trPr>
          <w:jc w:val="center"/>
        </w:trPr>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rsidR="00AE1CDC" w:rsidRPr="00AE1CDC" w:rsidRDefault="00AE1CDC" w:rsidP="00AE1CDC">
            <w:pPr>
              <w:spacing w:after="0" w:line="240" w:lineRule="auto"/>
              <w:rPr>
                <w:rFonts w:ascii="Times New Roman" w:eastAsia="Times New Roman" w:hAnsi="Times New Roman" w:cs="Times New Roman"/>
                <w:sz w:val="24"/>
                <w:szCs w:val="24"/>
                <w:lang w:eastAsia="it-IT"/>
              </w:rPr>
            </w:pPr>
            <w:r w:rsidRPr="00AE1CDC">
              <w:rPr>
                <w:rFonts w:ascii="Times New Roman" w:eastAsia="Times New Roman" w:hAnsi="Times New Roman" w:cs="Times New Roman"/>
                <w:sz w:val="24"/>
                <w:szCs w:val="24"/>
                <w:lang w:eastAsia="it-IT"/>
              </w:rPr>
              <w:t>Concorso ordinario PNRR 1</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rsidR="00AE1CDC" w:rsidRPr="00AE1CDC" w:rsidRDefault="00AE1CDC" w:rsidP="00AE1CDC">
            <w:pPr>
              <w:spacing w:after="0" w:line="240" w:lineRule="auto"/>
              <w:rPr>
                <w:rFonts w:ascii="Times New Roman" w:eastAsia="Times New Roman" w:hAnsi="Times New Roman" w:cs="Times New Roman"/>
                <w:sz w:val="24"/>
                <w:szCs w:val="24"/>
                <w:lang w:eastAsia="it-IT"/>
              </w:rPr>
            </w:pPr>
            <w:r w:rsidRPr="00AE1CDC">
              <w:rPr>
                <w:rFonts w:ascii="Times New Roman" w:eastAsia="Times New Roman" w:hAnsi="Times New Roman" w:cs="Times New Roman"/>
                <w:sz w:val="24"/>
                <w:szCs w:val="24"/>
                <w:lang w:eastAsia="it-IT"/>
              </w:rPr>
              <w:t>DD 2575 e 2576 del 6 dicembre 2023</w:t>
            </w:r>
          </w:p>
        </w:tc>
      </w:tr>
      <w:tr w:rsidR="00AE1CDC" w:rsidRPr="00AE1CDC" w:rsidTr="00AE1CDC">
        <w:trPr>
          <w:jc w:val="center"/>
        </w:trPr>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rsidR="00AE1CDC" w:rsidRPr="00AE1CDC" w:rsidRDefault="00AE1CDC" w:rsidP="00AE1CDC">
            <w:pPr>
              <w:spacing w:after="0" w:line="240" w:lineRule="auto"/>
              <w:rPr>
                <w:rFonts w:ascii="Times New Roman" w:eastAsia="Times New Roman" w:hAnsi="Times New Roman" w:cs="Times New Roman"/>
                <w:sz w:val="24"/>
                <w:szCs w:val="24"/>
                <w:lang w:eastAsia="it-IT"/>
              </w:rPr>
            </w:pPr>
            <w:r w:rsidRPr="00AE1CDC">
              <w:rPr>
                <w:rFonts w:ascii="Times New Roman" w:eastAsia="Times New Roman" w:hAnsi="Times New Roman" w:cs="Times New Roman"/>
                <w:sz w:val="24"/>
                <w:szCs w:val="24"/>
                <w:lang w:eastAsia="it-IT"/>
              </w:rPr>
              <w:t>Concorso ordinario PNRR 2</w:t>
            </w:r>
          </w:p>
        </w:tc>
        <w:tc>
          <w:tcPr>
            <w:tcW w:w="0" w:type="auto"/>
            <w:tcBorders>
              <w:top w:val="single" w:sz="6" w:space="0" w:color="EDEDED"/>
              <w:left w:val="single" w:sz="6" w:space="0" w:color="EDEDED"/>
              <w:bottom w:val="single" w:sz="6" w:space="0" w:color="EDEDED"/>
              <w:right w:val="single" w:sz="6" w:space="0" w:color="EDEDED"/>
            </w:tcBorders>
            <w:tcMar>
              <w:top w:w="30" w:type="dxa"/>
              <w:left w:w="120" w:type="dxa"/>
              <w:bottom w:w="30" w:type="dxa"/>
              <w:right w:w="120" w:type="dxa"/>
            </w:tcMar>
            <w:vAlign w:val="center"/>
            <w:hideMark/>
          </w:tcPr>
          <w:p w:rsidR="00AE1CDC" w:rsidRPr="00AE1CDC" w:rsidRDefault="00AE1CDC" w:rsidP="00AE1CDC">
            <w:pPr>
              <w:spacing w:after="0" w:line="240" w:lineRule="auto"/>
              <w:rPr>
                <w:rFonts w:ascii="Times New Roman" w:eastAsia="Times New Roman" w:hAnsi="Times New Roman" w:cs="Times New Roman"/>
                <w:sz w:val="24"/>
                <w:szCs w:val="24"/>
                <w:lang w:eastAsia="it-IT"/>
              </w:rPr>
            </w:pPr>
            <w:r w:rsidRPr="00AE1CDC">
              <w:rPr>
                <w:rFonts w:ascii="Times New Roman" w:eastAsia="Times New Roman" w:hAnsi="Times New Roman" w:cs="Times New Roman"/>
                <w:sz w:val="24"/>
                <w:szCs w:val="24"/>
                <w:lang w:eastAsia="it-IT"/>
              </w:rPr>
              <w:t>DD 3059 e 3060 del 10 dicembre 2024</w:t>
            </w:r>
          </w:p>
        </w:tc>
      </w:tr>
    </w:tbl>
    <w:p w:rsidR="00AE1CDC" w:rsidRPr="00AE1CDC" w:rsidRDefault="00AE1CDC" w:rsidP="00AE1CDC">
      <w:pPr>
        <w:shd w:val="clear" w:color="auto" w:fill="FFFFFF"/>
        <w:spacing w:before="405" w:after="255" w:line="450" w:lineRule="atLeast"/>
        <w:jc w:val="both"/>
        <w:outlineLvl w:val="2"/>
        <w:rPr>
          <w:rFonts w:ascii="Times New Roman" w:eastAsia="Times New Roman" w:hAnsi="Times New Roman" w:cs="Times New Roman"/>
          <w:color w:val="DD3333"/>
          <w:sz w:val="24"/>
          <w:szCs w:val="24"/>
          <w:lang w:eastAsia="it-IT"/>
        </w:rPr>
      </w:pPr>
      <w:r w:rsidRPr="00AE1CDC">
        <w:rPr>
          <w:rFonts w:ascii="Times New Roman" w:eastAsia="Times New Roman" w:hAnsi="Times New Roman" w:cs="Times New Roman"/>
          <w:b/>
          <w:bCs/>
          <w:noProof/>
          <w:color w:val="DD3333"/>
          <w:sz w:val="24"/>
          <w:szCs w:val="24"/>
          <w:lang w:eastAsia="it-IT"/>
        </w:rPr>
        <mc:AlternateContent>
          <mc:Choice Requires="wps">
            <w:drawing>
              <wp:inline distT="0" distB="0" distL="0" distR="0" wp14:anchorId="2586035E" wp14:editId="78F2BF43">
                <wp:extent cx="304800" cy="304800"/>
                <wp:effectExtent l="0" t="0" r="0" b="0"/>
                <wp:docPr id="11" name="AutoShape 16" descr="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875171" id="AutoShape 16" o:spid="_x0000_s1026" alt="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CcOj7tAQIAANYDAAAOAAAAAAAAAAAAAAAA&#10;AC4CAABkcnMvZTJvRG9jLnhtbFBLAQItABQABgAIAAAAIQBMoOks2AAAAAMBAAAPAAAAAAAAAAAA&#10;AAAAAFsEAABkcnMvZG93bnJldi54bWxQSwUGAAAAAAQABADzAAAAYAUAAAAA&#10;" filled="f" stroked="f">
                <o:lock v:ext="edit" aspectratio="t"/>
                <w10:anchorlock/>
              </v:rect>
            </w:pict>
          </mc:Fallback>
        </mc:AlternateContent>
      </w:r>
      <w:r w:rsidRPr="00AE1CDC">
        <w:rPr>
          <w:rFonts w:ascii="Times New Roman" w:eastAsia="Times New Roman" w:hAnsi="Times New Roman" w:cs="Times New Roman"/>
          <w:b/>
          <w:bCs/>
          <w:color w:val="DD3333"/>
          <w:sz w:val="24"/>
          <w:szCs w:val="24"/>
          <w:lang w:eastAsia="it-IT"/>
        </w:rPr>
        <w:t> </w:t>
      </w:r>
    </w:p>
    <w:p w:rsidR="00AE1CDC" w:rsidRPr="00AE1CDC" w:rsidRDefault="00AE1CDC" w:rsidP="00AE1CDC">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AE1CDC">
        <w:rPr>
          <w:rFonts w:ascii="Times New Roman" w:eastAsia="Times New Roman" w:hAnsi="Times New Roman" w:cs="Times New Roman"/>
          <w:color w:val="000000"/>
          <w:sz w:val="24"/>
          <w:szCs w:val="24"/>
          <w:lang w:eastAsia="it-IT"/>
        </w:rPr>
        <w:t>Per poter accedere agli elenchi regionali è necessario aver conseguito </w:t>
      </w:r>
      <w:r w:rsidRPr="00AE1CDC">
        <w:rPr>
          <w:rFonts w:ascii="Times New Roman" w:eastAsia="Times New Roman" w:hAnsi="Times New Roman" w:cs="Times New Roman"/>
          <w:b/>
          <w:bCs/>
          <w:color w:val="000000"/>
          <w:sz w:val="24"/>
          <w:szCs w:val="24"/>
          <w:lang w:eastAsia="it-IT"/>
        </w:rPr>
        <w:t>il punteggio minimo previsto per il superamento della prova orale</w:t>
      </w:r>
      <w:r w:rsidRPr="00AE1CDC">
        <w:rPr>
          <w:rFonts w:ascii="Times New Roman" w:eastAsia="Times New Roman" w:hAnsi="Times New Roman" w:cs="Times New Roman"/>
          <w:color w:val="000000"/>
          <w:sz w:val="24"/>
          <w:szCs w:val="24"/>
          <w:lang w:eastAsia="it-IT"/>
        </w:rPr>
        <w:t>, fissato in almeno </w:t>
      </w:r>
      <w:r w:rsidRPr="00AE1CDC">
        <w:rPr>
          <w:rFonts w:ascii="Times New Roman" w:eastAsia="Times New Roman" w:hAnsi="Times New Roman" w:cs="Times New Roman"/>
          <w:b/>
          <w:bCs/>
          <w:color w:val="000000"/>
          <w:sz w:val="24"/>
          <w:szCs w:val="24"/>
          <w:lang w:eastAsia="it-IT"/>
        </w:rPr>
        <w:t>70/100</w:t>
      </w:r>
      <w:r w:rsidRPr="00AE1CDC">
        <w:rPr>
          <w:rFonts w:ascii="Times New Roman" w:eastAsia="Times New Roman" w:hAnsi="Times New Roman" w:cs="Times New Roman"/>
          <w:color w:val="000000"/>
          <w:sz w:val="24"/>
          <w:szCs w:val="24"/>
          <w:lang w:eastAsia="it-IT"/>
        </w:rPr>
        <w:t>.</w:t>
      </w:r>
    </w:p>
    <w:p w:rsidR="00AE1CDC" w:rsidRPr="00AE1CDC" w:rsidRDefault="00AE1CDC" w:rsidP="00AE1CDC">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AE1CDC">
        <w:rPr>
          <w:rFonts w:ascii="Times New Roman" w:eastAsia="Times New Roman" w:hAnsi="Times New Roman" w:cs="Times New Roman"/>
          <w:color w:val="000000"/>
          <w:sz w:val="24"/>
          <w:szCs w:val="24"/>
          <w:lang w:eastAsia="it-IT"/>
        </w:rPr>
        <w:lastRenderedPageBreak/>
        <w:t>Nel caso delle classi di concorso della scuola secondaria per le quali la procedura concorsuale ha previsto lo svolgimento della prova pratica nell’ambito della prova orale, il punteggio di riferimento sarà costituito </w:t>
      </w:r>
      <w:r w:rsidRPr="00AE1CDC">
        <w:rPr>
          <w:rFonts w:ascii="Times New Roman" w:eastAsia="Times New Roman" w:hAnsi="Times New Roman" w:cs="Times New Roman"/>
          <w:b/>
          <w:bCs/>
          <w:color w:val="000000"/>
          <w:sz w:val="24"/>
          <w:szCs w:val="24"/>
          <w:lang w:eastAsia="it-IT"/>
        </w:rPr>
        <w:t>dalla media aritmetica tra la valutazione della prova pratica e quella del colloquio</w:t>
      </w:r>
      <w:r w:rsidRPr="00AE1CDC">
        <w:rPr>
          <w:rFonts w:ascii="Times New Roman" w:eastAsia="Times New Roman" w:hAnsi="Times New Roman" w:cs="Times New Roman"/>
          <w:color w:val="000000"/>
          <w:sz w:val="24"/>
          <w:szCs w:val="24"/>
          <w:lang w:eastAsia="it-IT"/>
        </w:rPr>
        <w:t>.</w:t>
      </w:r>
    </w:p>
    <w:p w:rsidR="00AE1CDC" w:rsidRPr="00AE1CDC" w:rsidRDefault="00AE1CDC" w:rsidP="00AE1CDC">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AE1CDC">
        <w:rPr>
          <w:rFonts w:ascii="Times New Roman" w:eastAsia="Times New Roman" w:hAnsi="Times New Roman" w:cs="Times New Roman"/>
          <w:color w:val="000000"/>
          <w:sz w:val="24"/>
          <w:szCs w:val="24"/>
          <w:lang w:eastAsia="it-IT"/>
        </w:rPr>
        <w:t>Possono altresì presentare domanda di iscrizione agli elenchi regionali coloro che, avendo partecipato alle procedure concorsuali bandite con decreto dipartimentale n. 510 del 23 aprile 2020, hanno conseguito almeno il punteggio minimo previsto per il superamento della prova scritta, quantificato in 56 punti, e non sono in possesso di un contratto di docenza a tempo indeterminato ovvero a tempo determinato finalizzato al ruolo.</w:t>
      </w:r>
    </w:p>
    <w:p w:rsidR="00AE1CDC" w:rsidRPr="00AE1CDC" w:rsidRDefault="00AE1CDC" w:rsidP="00AE1CDC">
      <w:pPr>
        <w:shd w:val="clear" w:color="auto" w:fill="FFFFFF"/>
        <w:spacing w:before="405" w:after="255" w:line="450" w:lineRule="atLeast"/>
        <w:jc w:val="both"/>
        <w:outlineLvl w:val="2"/>
        <w:rPr>
          <w:rFonts w:ascii="Times New Roman" w:eastAsia="Times New Roman" w:hAnsi="Times New Roman" w:cs="Times New Roman"/>
          <w:color w:val="000000"/>
          <w:sz w:val="24"/>
          <w:szCs w:val="24"/>
          <w:lang w:eastAsia="it-IT"/>
        </w:rPr>
      </w:pPr>
      <w:r w:rsidRPr="00AE1CDC">
        <w:rPr>
          <w:rFonts w:ascii="Times New Roman" w:eastAsia="Times New Roman" w:hAnsi="Times New Roman" w:cs="Times New Roman"/>
          <w:b/>
          <w:bCs/>
          <w:noProof/>
          <w:color w:val="DD3333"/>
          <w:sz w:val="24"/>
          <w:szCs w:val="24"/>
          <w:lang w:eastAsia="it-IT"/>
        </w:rPr>
        <mc:AlternateContent>
          <mc:Choice Requires="wps">
            <w:drawing>
              <wp:inline distT="0" distB="0" distL="0" distR="0" wp14:anchorId="213BFC80" wp14:editId="3C5DD13B">
                <wp:extent cx="304800" cy="304800"/>
                <wp:effectExtent l="0" t="0" r="0" b="0"/>
                <wp:docPr id="10" name="AutoShape 17" descr="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7C2839" id="AutoShape 17" o:spid="_x0000_s1026" alt="3️⃣"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" filled="f" stroked="f">
                <o:lock v:ext="edit" aspectratio="t"/>
                <w10:anchorlock/>
              </v:rect>
            </w:pict>
          </mc:Fallback>
        </mc:AlternateContent>
      </w:r>
      <w:r w:rsidRPr="00AE1CDC">
        <w:rPr>
          <w:rFonts w:ascii="Times New Roman" w:eastAsia="Times New Roman" w:hAnsi="Times New Roman" w:cs="Times New Roman"/>
          <w:b/>
          <w:bCs/>
          <w:color w:val="DD3333"/>
          <w:sz w:val="24"/>
          <w:szCs w:val="24"/>
          <w:lang w:eastAsia="it-IT"/>
        </w:rPr>
        <w:t> </w:t>
      </w:r>
      <w:r w:rsidRPr="00AE1CDC">
        <w:rPr>
          <w:rFonts w:ascii="Times New Roman" w:eastAsia="Times New Roman" w:hAnsi="Times New Roman" w:cs="Times New Roman"/>
          <w:color w:val="000000"/>
          <w:sz w:val="24"/>
          <w:szCs w:val="24"/>
          <w:lang w:eastAsia="it-IT"/>
        </w:rPr>
        <w:t>Non potranno presentare domanda i docenti che risultano già:</w:t>
      </w:r>
    </w:p>
    <w:p w:rsidR="00AE1CDC" w:rsidRPr="00AE1CDC" w:rsidRDefault="00AE1CDC" w:rsidP="00AE1CDC">
      <w:pPr>
        <w:numPr>
          <w:ilvl w:val="0"/>
          <w:numId w:val="1"/>
        </w:numPr>
        <w:shd w:val="clear" w:color="auto" w:fill="FFFFFF"/>
        <w:spacing w:before="100" w:beforeAutospacing="1" w:after="150" w:line="240" w:lineRule="auto"/>
        <w:ind w:left="315"/>
        <w:jc w:val="both"/>
        <w:rPr>
          <w:rFonts w:ascii="Times New Roman" w:eastAsia="Times New Roman" w:hAnsi="Times New Roman" w:cs="Times New Roman"/>
          <w:color w:val="000000"/>
          <w:sz w:val="24"/>
          <w:szCs w:val="24"/>
          <w:lang w:eastAsia="it-IT"/>
        </w:rPr>
      </w:pPr>
      <w:r w:rsidRPr="00AE1CDC">
        <w:rPr>
          <w:rFonts w:ascii="Times New Roman" w:eastAsia="Times New Roman" w:hAnsi="Times New Roman" w:cs="Times New Roman"/>
          <w:color w:val="000000"/>
          <w:sz w:val="24"/>
          <w:szCs w:val="24"/>
          <w:lang w:eastAsia="it-IT"/>
        </w:rPr>
        <w:t>titolari di </w:t>
      </w:r>
      <w:r w:rsidRPr="00AE1CDC">
        <w:rPr>
          <w:rFonts w:ascii="Times New Roman" w:eastAsia="Times New Roman" w:hAnsi="Times New Roman" w:cs="Times New Roman"/>
          <w:b/>
          <w:bCs/>
          <w:color w:val="000000"/>
          <w:sz w:val="24"/>
          <w:szCs w:val="24"/>
          <w:lang w:eastAsia="it-IT"/>
        </w:rPr>
        <w:t>contratto a tempo indeterminato</w:t>
      </w:r>
      <w:r w:rsidRPr="00AE1CDC">
        <w:rPr>
          <w:rFonts w:ascii="Times New Roman" w:eastAsia="Times New Roman" w:hAnsi="Times New Roman" w:cs="Times New Roman"/>
          <w:color w:val="000000"/>
          <w:sz w:val="24"/>
          <w:szCs w:val="24"/>
          <w:lang w:eastAsia="it-IT"/>
        </w:rPr>
        <w:t>, oppure</w:t>
      </w:r>
    </w:p>
    <w:p w:rsidR="00AE1CDC" w:rsidRPr="00AE1CDC" w:rsidRDefault="00AE1CDC" w:rsidP="00AE1CDC">
      <w:pPr>
        <w:numPr>
          <w:ilvl w:val="0"/>
          <w:numId w:val="1"/>
        </w:numPr>
        <w:shd w:val="clear" w:color="auto" w:fill="FFFFFF"/>
        <w:spacing w:before="100" w:beforeAutospacing="1" w:after="0" w:line="240" w:lineRule="auto"/>
        <w:ind w:left="315"/>
        <w:jc w:val="both"/>
        <w:rPr>
          <w:rFonts w:ascii="Times New Roman" w:eastAsia="Times New Roman" w:hAnsi="Times New Roman" w:cs="Times New Roman"/>
          <w:color w:val="000000"/>
          <w:sz w:val="24"/>
          <w:szCs w:val="24"/>
          <w:lang w:eastAsia="it-IT"/>
        </w:rPr>
      </w:pPr>
      <w:r w:rsidRPr="00AE1CDC">
        <w:rPr>
          <w:rFonts w:ascii="Times New Roman" w:eastAsia="Times New Roman" w:hAnsi="Times New Roman" w:cs="Times New Roman"/>
          <w:color w:val="000000"/>
          <w:sz w:val="24"/>
          <w:szCs w:val="24"/>
          <w:lang w:eastAsia="it-IT"/>
        </w:rPr>
        <w:t>destinatari di </w:t>
      </w:r>
      <w:r w:rsidRPr="00AE1CDC">
        <w:rPr>
          <w:rFonts w:ascii="Times New Roman" w:eastAsia="Times New Roman" w:hAnsi="Times New Roman" w:cs="Times New Roman"/>
          <w:b/>
          <w:bCs/>
          <w:color w:val="000000"/>
          <w:sz w:val="24"/>
          <w:szCs w:val="24"/>
          <w:lang w:eastAsia="it-IT"/>
        </w:rPr>
        <w:t>contratto a tempo determinato finalizzato all’immissione in ruolo</w:t>
      </w:r>
      <w:r w:rsidRPr="00AE1CDC">
        <w:rPr>
          <w:rFonts w:ascii="Times New Roman" w:eastAsia="Times New Roman" w:hAnsi="Times New Roman" w:cs="Times New Roman"/>
          <w:color w:val="000000"/>
          <w:sz w:val="24"/>
          <w:szCs w:val="24"/>
          <w:lang w:eastAsia="it-IT"/>
        </w:rPr>
        <w:t>.</w:t>
      </w:r>
    </w:p>
    <w:p w:rsidR="00AE1CDC" w:rsidRPr="00AE1CDC" w:rsidRDefault="00AE1CDC" w:rsidP="00AE1CDC">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AE1CDC">
        <w:rPr>
          <w:rFonts w:ascii="Times New Roman" w:eastAsia="Times New Roman" w:hAnsi="Times New Roman" w:cs="Times New Roman"/>
          <w:color w:val="000000"/>
          <w:sz w:val="24"/>
          <w:szCs w:val="24"/>
          <w:lang w:eastAsia="it-IT"/>
        </w:rPr>
        <w:t>All’interno della singola classe di concorso o tipologia di posto, gli aspiranti saranno graduati </w:t>
      </w:r>
      <w:r w:rsidRPr="00AE1CDC">
        <w:rPr>
          <w:rFonts w:ascii="Times New Roman" w:eastAsia="Times New Roman" w:hAnsi="Times New Roman" w:cs="Times New Roman"/>
          <w:b/>
          <w:bCs/>
          <w:color w:val="000000"/>
          <w:sz w:val="24"/>
          <w:szCs w:val="24"/>
          <w:lang w:eastAsia="it-IT"/>
        </w:rPr>
        <w:t>sulla base dell’ordine cronologico della procedura concorsuale</w:t>
      </w:r>
      <w:r w:rsidRPr="00AE1CDC">
        <w:rPr>
          <w:rFonts w:ascii="Times New Roman" w:eastAsia="Times New Roman" w:hAnsi="Times New Roman" w:cs="Times New Roman"/>
          <w:color w:val="000000"/>
          <w:sz w:val="24"/>
          <w:szCs w:val="24"/>
          <w:lang w:eastAsia="it-IT"/>
        </w:rPr>
        <w:t> alla quale hanno partecipato.</w:t>
      </w:r>
    </w:p>
    <w:p w:rsidR="00AE1CDC" w:rsidRPr="00AE1CDC" w:rsidRDefault="00AE1CDC" w:rsidP="00AE1CDC">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AE1CDC">
        <w:rPr>
          <w:rFonts w:ascii="Times New Roman" w:eastAsia="Times New Roman" w:hAnsi="Times New Roman" w:cs="Times New Roman"/>
          <w:color w:val="000000"/>
          <w:sz w:val="24"/>
          <w:szCs w:val="24"/>
          <w:lang w:eastAsia="it-IT"/>
        </w:rPr>
        <w:t>Gli aspiranti appartenenti alla medesima procedura concorsuale sono graduati in due sezioni, da cui si attinge nel seguente ordine:</w:t>
      </w:r>
    </w:p>
    <w:p w:rsidR="00AE1CDC" w:rsidRPr="00AE1CDC" w:rsidRDefault="00AE1CDC" w:rsidP="00AE1CDC">
      <w:pPr>
        <w:numPr>
          <w:ilvl w:val="0"/>
          <w:numId w:val="2"/>
        </w:numPr>
        <w:shd w:val="clear" w:color="auto" w:fill="FFFFFF"/>
        <w:spacing w:before="100" w:beforeAutospacing="1" w:after="150" w:line="240" w:lineRule="auto"/>
        <w:ind w:left="315"/>
        <w:jc w:val="both"/>
        <w:rPr>
          <w:rFonts w:ascii="Times New Roman" w:eastAsia="Times New Roman" w:hAnsi="Times New Roman" w:cs="Times New Roman"/>
          <w:color w:val="000000"/>
          <w:sz w:val="24"/>
          <w:szCs w:val="24"/>
          <w:lang w:eastAsia="it-IT"/>
        </w:rPr>
      </w:pPr>
      <w:r w:rsidRPr="00AE1CDC">
        <w:rPr>
          <w:rFonts w:ascii="Times New Roman" w:eastAsia="Times New Roman" w:hAnsi="Times New Roman" w:cs="Times New Roman"/>
          <w:color w:val="000000"/>
          <w:sz w:val="24"/>
          <w:szCs w:val="24"/>
          <w:lang w:eastAsia="it-IT"/>
        </w:rPr>
        <w:t>la prima, costituita dagli aspiranti </w:t>
      </w:r>
      <w:r w:rsidRPr="00AE1CDC">
        <w:rPr>
          <w:rFonts w:ascii="Times New Roman" w:eastAsia="Times New Roman" w:hAnsi="Times New Roman" w:cs="Times New Roman"/>
          <w:b/>
          <w:bCs/>
          <w:color w:val="000000"/>
          <w:sz w:val="24"/>
          <w:szCs w:val="24"/>
          <w:lang w:eastAsia="it-IT"/>
        </w:rPr>
        <w:t>che hanno svolto il concorso nella regione nella quale chiedono l’iscrizione nell’elenco;</w:t>
      </w:r>
    </w:p>
    <w:p w:rsidR="00AE1CDC" w:rsidRPr="00AE1CDC" w:rsidRDefault="00AE1CDC" w:rsidP="00AE1CDC">
      <w:pPr>
        <w:numPr>
          <w:ilvl w:val="0"/>
          <w:numId w:val="2"/>
        </w:numPr>
        <w:shd w:val="clear" w:color="auto" w:fill="FFFFFF"/>
        <w:spacing w:before="100" w:beforeAutospacing="1" w:after="0" w:line="240" w:lineRule="auto"/>
        <w:ind w:left="315"/>
        <w:jc w:val="both"/>
        <w:rPr>
          <w:rFonts w:ascii="Times New Roman" w:eastAsia="Times New Roman" w:hAnsi="Times New Roman" w:cs="Times New Roman"/>
          <w:color w:val="000000"/>
          <w:sz w:val="24"/>
          <w:szCs w:val="24"/>
          <w:lang w:eastAsia="it-IT"/>
        </w:rPr>
      </w:pPr>
      <w:r w:rsidRPr="00AE1CDC">
        <w:rPr>
          <w:rFonts w:ascii="Times New Roman" w:eastAsia="Times New Roman" w:hAnsi="Times New Roman" w:cs="Times New Roman"/>
          <w:color w:val="000000"/>
          <w:sz w:val="24"/>
          <w:szCs w:val="24"/>
          <w:lang w:eastAsia="it-IT"/>
        </w:rPr>
        <w:t>la seconda, costituita dagli aspiranti </w:t>
      </w:r>
      <w:r w:rsidRPr="00AE1CDC">
        <w:rPr>
          <w:rFonts w:ascii="Times New Roman" w:eastAsia="Times New Roman" w:hAnsi="Times New Roman" w:cs="Times New Roman"/>
          <w:b/>
          <w:bCs/>
          <w:color w:val="000000"/>
          <w:sz w:val="24"/>
          <w:szCs w:val="24"/>
          <w:lang w:eastAsia="it-IT"/>
        </w:rPr>
        <w:t>che hanno svolto il concorso in una regione diversa da quella nella quale chiedono l’iscrizione nell’elenco.</w:t>
      </w:r>
    </w:p>
    <w:p w:rsidR="00AE1CDC" w:rsidRPr="00AE1CDC" w:rsidRDefault="00AE1CDC" w:rsidP="00AE1CDC">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AE1CDC">
        <w:rPr>
          <w:rFonts w:ascii="Times New Roman" w:eastAsia="Times New Roman" w:hAnsi="Times New Roman" w:cs="Times New Roman"/>
          <w:color w:val="000000"/>
          <w:sz w:val="24"/>
          <w:szCs w:val="24"/>
          <w:lang w:eastAsia="it-IT"/>
        </w:rPr>
        <w:t>Gli aspiranti appartenenti alla medesima procedura concorsuale (e alla medesima sezione) saranno graduati sulla base </w:t>
      </w:r>
      <w:r w:rsidRPr="00AE1CDC">
        <w:rPr>
          <w:rFonts w:ascii="Times New Roman" w:eastAsia="Times New Roman" w:hAnsi="Times New Roman" w:cs="Times New Roman"/>
          <w:b/>
          <w:bCs/>
          <w:color w:val="000000"/>
          <w:sz w:val="24"/>
          <w:szCs w:val="24"/>
          <w:lang w:eastAsia="it-IT"/>
        </w:rPr>
        <w:t>della somma dei punteggi riportati nella prova scritta e nella prova orale</w:t>
      </w:r>
      <w:r w:rsidRPr="00AE1CDC">
        <w:rPr>
          <w:rFonts w:ascii="Times New Roman" w:eastAsia="Times New Roman" w:hAnsi="Times New Roman" w:cs="Times New Roman"/>
          <w:color w:val="000000"/>
          <w:sz w:val="24"/>
          <w:szCs w:val="24"/>
          <w:lang w:eastAsia="it-IT"/>
        </w:rPr>
        <w:t>.</w:t>
      </w:r>
    </w:p>
    <w:p w:rsidR="00AE1CDC" w:rsidRPr="00AE1CDC" w:rsidRDefault="00AE1CDC" w:rsidP="00AE1CDC">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AE1CDC">
        <w:rPr>
          <w:rFonts w:ascii="Times New Roman" w:eastAsia="Times New Roman" w:hAnsi="Times New Roman" w:cs="Times New Roman"/>
          <w:color w:val="000000"/>
          <w:sz w:val="24"/>
          <w:szCs w:val="24"/>
          <w:lang w:eastAsia="it-IT"/>
        </w:rPr>
        <w:t>In caso di parità di punteggio nell’ambito della medesima procedura concorsuale, si applicano </w:t>
      </w:r>
      <w:r w:rsidRPr="00AE1CDC">
        <w:rPr>
          <w:rFonts w:ascii="Times New Roman" w:eastAsia="Times New Roman" w:hAnsi="Times New Roman" w:cs="Times New Roman"/>
          <w:b/>
          <w:bCs/>
          <w:color w:val="000000"/>
          <w:sz w:val="24"/>
          <w:szCs w:val="24"/>
          <w:lang w:eastAsia="it-IT"/>
        </w:rPr>
        <w:t>i titoli di precedenza</w:t>
      </w:r>
      <w:r w:rsidRPr="00AE1CDC">
        <w:rPr>
          <w:rFonts w:ascii="Times New Roman" w:eastAsia="Times New Roman" w:hAnsi="Times New Roman" w:cs="Times New Roman"/>
          <w:color w:val="000000"/>
          <w:sz w:val="24"/>
          <w:szCs w:val="24"/>
          <w:lang w:eastAsia="it-IT"/>
        </w:rPr>
        <w:t> di cui all’articolo 5, comma 4, del DPR 9 maggio 1994, n. 487. A tal fine, nell’istanza di partecipazione gli aspiranti dovranno dichiarare le situazioni possedute al momento della presentazione della domanda.</w:t>
      </w:r>
    </w:p>
    <w:p w:rsidR="00AE1CDC" w:rsidRPr="00AE1CDC" w:rsidRDefault="00AE1CDC" w:rsidP="00AE1CDC">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AE1CDC">
        <w:rPr>
          <w:rFonts w:ascii="Times New Roman" w:eastAsia="Times New Roman" w:hAnsi="Times New Roman" w:cs="Times New Roman"/>
          <w:color w:val="000000"/>
          <w:sz w:val="24"/>
          <w:szCs w:val="24"/>
          <w:lang w:eastAsia="it-IT"/>
        </w:rPr>
        <w:t>Qualora il candidato abbia titolo all’iscrizione negli elenchi regionali, maturato nell’ambito di più procedure concorsuali per la medesima classe di concorso o tipologia di posto, la posizione sarà determinata avendo riguardo alla procedura temporalmente precedente.</w:t>
      </w:r>
    </w:p>
    <w:p w:rsidR="00AE1CDC" w:rsidRPr="00AE1CDC" w:rsidRDefault="00AE1CDC" w:rsidP="00AE1CDC">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AE1CDC">
        <w:rPr>
          <w:rFonts w:ascii="Times New Roman" w:eastAsia="Times New Roman" w:hAnsi="Times New Roman" w:cs="Times New Roman"/>
          <w:color w:val="000000"/>
          <w:sz w:val="24"/>
          <w:szCs w:val="24"/>
          <w:lang w:eastAsia="it-IT"/>
        </w:rPr>
        <w:t>Un aspetto molto importante riguarda la scelta territoriale: gli aspiranti potranno presentare domanda </w:t>
      </w:r>
      <w:r w:rsidRPr="00AE1CDC">
        <w:rPr>
          <w:rFonts w:ascii="Times New Roman" w:eastAsia="Times New Roman" w:hAnsi="Times New Roman" w:cs="Times New Roman"/>
          <w:b/>
          <w:bCs/>
          <w:color w:val="000000"/>
          <w:sz w:val="24"/>
          <w:szCs w:val="24"/>
          <w:lang w:eastAsia="it-IT"/>
        </w:rPr>
        <w:t>per una sola regione</w:t>
      </w:r>
      <w:r w:rsidRPr="00AE1CDC">
        <w:rPr>
          <w:rFonts w:ascii="Times New Roman" w:eastAsia="Times New Roman" w:hAnsi="Times New Roman" w:cs="Times New Roman"/>
          <w:color w:val="000000"/>
          <w:sz w:val="24"/>
          <w:szCs w:val="24"/>
          <w:lang w:eastAsia="it-IT"/>
        </w:rPr>
        <w:t>, anche nel caso in cui abbiano titolo all’inserimento in più elenchi regionali. La regione scelta può anche essere diversa da quella in cui si è effettuato il concorso.</w:t>
      </w:r>
    </w:p>
    <w:p w:rsidR="00AE1CDC" w:rsidRPr="00AE1CDC" w:rsidRDefault="00AE1CDC" w:rsidP="00AE1CDC">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AE1CDC">
        <w:rPr>
          <w:rFonts w:ascii="Times New Roman" w:eastAsia="Times New Roman" w:hAnsi="Times New Roman" w:cs="Times New Roman"/>
          <w:color w:val="000000"/>
          <w:sz w:val="24"/>
          <w:szCs w:val="24"/>
          <w:lang w:eastAsia="it-IT"/>
        </w:rPr>
        <w:t>Proprio per questo motivo, gli Uffici Scolastici Regionali dovranno pubblicare, all’apertura delle istanze, i dati aggiornati sulle graduatorie ancora vigenti, distinti per classe di concorso e tipologie di posto, così da orientare i candidati nella scelta.</w:t>
      </w:r>
    </w:p>
    <w:p w:rsidR="00AE1CDC" w:rsidRPr="00AE1CDC" w:rsidRDefault="00AE1CDC" w:rsidP="00AE1CDC">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AE1CDC">
        <w:rPr>
          <w:rFonts w:ascii="Times New Roman" w:eastAsia="Times New Roman" w:hAnsi="Times New Roman" w:cs="Times New Roman"/>
          <w:color w:val="000000"/>
          <w:sz w:val="24"/>
          <w:szCs w:val="24"/>
          <w:lang w:eastAsia="it-IT"/>
        </w:rPr>
        <w:lastRenderedPageBreak/>
        <w:br/>
        <w:t>Si seguirà</w:t>
      </w:r>
      <w:r w:rsidRPr="00AE1CDC">
        <w:rPr>
          <w:rFonts w:ascii="Times New Roman" w:eastAsia="Times New Roman" w:hAnsi="Times New Roman" w:cs="Times New Roman"/>
          <w:b/>
          <w:bCs/>
          <w:color w:val="000000"/>
          <w:sz w:val="24"/>
          <w:szCs w:val="24"/>
          <w:lang w:eastAsia="it-IT"/>
        </w:rPr>
        <w:t> l’ordine cronologico</w:t>
      </w:r>
      <w:r w:rsidRPr="00AE1CDC">
        <w:rPr>
          <w:rFonts w:ascii="Times New Roman" w:eastAsia="Times New Roman" w:hAnsi="Times New Roman" w:cs="Times New Roman"/>
          <w:color w:val="000000"/>
          <w:sz w:val="24"/>
          <w:szCs w:val="24"/>
          <w:lang w:eastAsia="it-IT"/>
        </w:rPr>
        <w:t> di indizione dei concorsi (data di pubblicazione del bando). All’interno di ciascuna procedura concorsuale sarà data priorità agli </w:t>
      </w:r>
      <w:r w:rsidRPr="00AE1CDC">
        <w:rPr>
          <w:rFonts w:ascii="Times New Roman" w:eastAsia="Times New Roman" w:hAnsi="Times New Roman" w:cs="Times New Roman"/>
          <w:b/>
          <w:bCs/>
          <w:color w:val="000000"/>
          <w:sz w:val="24"/>
          <w:szCs w:val="24"/>
          <w:lang w:eastAsia="it-IT"/>
        </w:rPr>
        <w:t>aspiranti che hanno svolto il concorso nella regione in cui chiedono l’iscrizione nell’elenco</w:t>
      </w:r>
      <w:r w:rsidRPr="00AE1CDC">
        <w:rPr>
          <w:rFonts w:ascii="Times New Roman" w:eastAsia="Times New Roman" w:hAnsi="Times New Roman" w:cs="Times New Roman"/>
          <w:color w:val="000000"/>
          <w:sz w:val="24"/>
          <w:szCs w:val="24"/>
          <w:lang w:eastAsia="it-IT"/>
        </w:rPr>
        <w:t>. Per ciascuna procedura concorsuale è prevista infatti la suddivisione in due sezioni. </w:t>
      </w:r>
    </w:p>
    <w:p w:rsidR="00AE1CDC" w:rsidRPr="00AE1CDC" w:rsidRDefault="00AE1CDC" w:rsidP="00AE1CDC">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AE1CDC">
        <w:rPr>
          <w:rFonts w:ascii="Times New Roman" w:eastAsia="Times New Roman" w:hAnsi="Times New Roman" w:cs="Times New Roman"/>
          <w:b/>
          <w:bCs/>
          <w:color w:val="000000"/>
          <w:sz w:val="24"/>
          <w:szCs w:val="24"/>
          <w:lang w:eastAsia="it-IT"/>
        </w:rPr>
        <w:t>Gli aspiranti potranno inserirsi negli elenchi regionali di</w:t>
      </w:r>
      <w:r w:rsidRPr="00AE1CDC">
        <w:rPr>
          <w:rFonts w:ascii="Times New Roman" w:eastAsia="Times New Roman" w:hAnsi="Times New Roman" w:cs="Times New Roman"/>
          <w:b/>
          <w:bCs/>
          <w:color w:val="FF0000"/>
          <w:sz w:val="24"/>
          <w:szCs w:val="24"/>
          <w:lang w:eastAsia="it-IT"/>
        </w:rPr>
        <w:t> una sola regione</w:t>
      </w:r>
      <w:r w:rsidRPr="00AE1CDC">
        <w:rPr>
          <w:rFonts w:ascii="Times New Roman" w:eastAsia="Times New Roman" w:hAnsi="Times New Roman" w:cs="Times New Roman"/>
          <w:color w:val="000000"/>
          <w:sz w:val="24"/>
          <w:szCs w:val="24"/>
          <w:lang w:eastAsia="it-IT"/>
        </w:rPr>
        <w:t>, anche per diverse classi di concorso o tipologie di posto, per ciascuna delle procedure concorsuali per cui hanno titolo.</w:t>
      </w:r>
    </w:p>
    <w:p w:rsidR="00AE1CDC" w:rsidRPr="00AE1CDC" w:rsidRDefault="00AE1CDC" w:rsidP="00AE1CDC">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AE1CDC">
        <w:rPr>
          <w:rFonts w:ascii="Times New Roman" w:eastAsia="Times New Roman" w:hAnsi="Times New Roman" w:cs="Times New Roman"/>
          <w:color w:val="000000"/>
          <w:sz w:val="24"/>
          <w:szCs w:val="24"/>
          <w:lang w:eastAsia="it-IT"/>
        </w:rPr>
        <w:t>Ci saranno </w:t>
      </w:r>
      <w:r w:rsidRPr="00AE1CDC">
        <w:rPr>
          <w:rFonts w:ascii="Times New Roman" w:eastAsia="Times New Roman" w:hAnsi="Times New Roman" w:cs="Times New Roman"/>
          <w:b/>
          <w:bCs/>
          <w:color w:val="000000"/>
          <w:sz w:val="24"/>
          <w:szCs w:val="24"/>
          <w:lang w:eastAsia="it-IT"/>
        </w:rPr>
        <w:t>20 giorni per la presentazione della domanda</w:t>
      </w:r>
      <w:r w:rsidRPr="00AE1CDC">
        <w:rPr>
          <w:rFonts w:ascii="Times New Roman" w:eastAsia="Times New Roman" w:hAnsi="Times New Roman" w:cs="Times New Roman"/>
          <w:color w:val="000000"/>
          <w:sz w:val="24"/>
          <w:szCs w:val="24"/>
          <w:lang w:eastAsia="it-IT"/>
        </w:rPr>
        <w:t>, a partire dalla pubblicazione dell’avviso sul portale INPA.</w:t>
      </w:r>
    </w:p>
    <w:p w:rsidR="00AE1CDC" w:rsidRPr="00AE1CDC" w:rsidRDefault="00AE1CDC" w:rsidP="00AE1CDC">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AE1CDC">
        <w:rPr>
          <w:rFonts w:ascii="Times New Roman" w:eastAsia="Times New Roman" w:hAnsi="Times New Roman" w:cs="Times New Roman"/>
          <w:color w:val="000000"/>
          <w:sz w:val="24"/>
          <w:szCs w:val="24"/>
          <w:lang w:eastAsia="it-IT"/>
        </w:rPr>
        <w:t>Il periodo per la presentazione delle istanze dovrebbe andare dal 6 al 25 maggio.</w:t>
      </w:r>
    </w:p>
    <w:p w:rsidR="00AE1CDC" w:rsidRPr="00AE1CDC" w:rsidRDefault="00AE1CDC" w:rsidP="00AE1CDC">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AE1CDC">
        <w:rPr>
          <w:rFonts w:ascii="Times New Roman" w:eastAsia="Times New Roman" w:hAnsi="Times New Roman" w:cs="Times New Roman"/>
          <w:color w:val="000000"/>
          <w:sz w:val="24"/>
          <w:szCs w:val="24"/>
          <w:lang w:eastAsia="it-IT"/>
        </w:rPr>
        <w:t>Per dare un quadro della capienza delle diverse graduatorie utilizzabili nelle assunzioni prima degli elenchi, gli USR, all’apertura delle istanze, dovranno pubblicare per ciascuna classe di concorso e tipologia di posto la consistenza numerica delle GM ancora vigenti, al netto delle assunzioni già effettuate e delle cancellazioni previste dalla legge.</w:t>
      </w:r>
    </w:p>
    <w:p w:rsidR="00AE1CDC" w:rsidRPr="00AE1CDC" w:rsidRDefault="00AE1CDC" w:rsidP="00AE1CDC">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AE1CDC">
        <w:rPr>
          <w:rFonts w:ascii="Times New Roman" w:eastAsia="Times New Roman" w:hAnsi="Times New Roman" w:cs="Times New Roman"/>
          <w:color w:val="000000"/>
          <w:sz w:val="24"/>
          <w:szCs w:val="24"/>
          <w:lang w:eastAsia="it-IT"/>
        </w:rPr>
        <w:t>Gli elenchi regionali saranno pubblicati dagli USR in un’apposita area del sistema informativo del Ministero dell’istruzione e del merito e </w:t>
      </w:r>
      <w:r w:rsidRPr="00AE1CDC">
        <w:rPr>
          <w:rFonts w:ascii="Times New Roman" w:eastAsia="Times New Roman" w:hAnsi="Times New Roman" w:cs="Times New Roman"/>
          <w:b/>
          <w:bCs/>
          <w:color w:val="000000"/>
          <w:sz w:val="24"/>
          <w:szCs w:val="24"/>
          <w:lang w:eastAsia="it-IT"/>
        </w:rPr>
        <w:t>saranno consultabili esclusivamente dagli interessati;</w:t>
      </w:r>
      <w:r w:rsidRPr="00AE1CDC">
        <w:rPr>
          <w:rFonts w:ascii="Times New Roman" w:eastAsia="Times New Roman" w:hAnsi="Times New Roman" w:cs="Times New Roman"/>
          <w:color w:val="000000"/>
          <w:sz w:val="24"/>
          <w:szCs w:val="24"/>
          <w:lang w:eastAsia="it-IT"/>
        </w:rPr>
        <w:t> ciascun USR darà altresì pubblica visibilità delle consistenze numeriche per ciascuna classe di concorso e tipologia di posto.</w:t>
      </w:r>
    </w:p>
    <w:p w:rsidR="00AE1CDC" w:rsidRPr="00AE1CDC" w:rsidRDefault="00AE1CDC" w:rsidP="00AE1CDC">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AE1CDC">
        <w:rPr>
          <w:rFonts w:ascii="Times New Roman" w:eastAsia="Times New Roman" w:hAnsi="Times New Roman" w:cs="Times New Roman"/>
          <w:color w:val="000000"/>
          <w:sz w:val="24"/>
          <w:szCs w:val="24"/>
          <w:lang w:eastAsia="it-IT"/>
        </w:rPr>
        <w:t>Gli elenchi regionali saranno utilizzati </w:t>
      </w:r>
      <w:r w:rsidRPr="00AE1CDC">
        <w:rPr>
          <w:rFonts w:ascii="Times New Roman" w:eastAsia="Times New Roman" w:hAnsi="Times New Roman" w:cs="Times New Roman"/>
          <w:b/>
          <w:bCs/>
          <w:color w:val="000000"/>
          <w:sz w:val="24"/>
          <w:szCs w:val="24"/>
          <w:lang w:eastAsia="it-IT"/>
        </w:rPr>
        <w:t>in subordine allo scorrimento delle graduatorie concorsuali</w:t>
      </w:r>
      <w:r w:rsidRPr="00AE1CDC">
        <w:rPr>
          <w:rFonts w:ascii="Times New Roman" w:eastAsia="Times New Roman" w:hAnsi="Times New Roman" w:cs="Times New Roman"/>
          <w:color w:val="000000"/>
          <w:sz w:val="24"/>
          <w:szCs w:val="24"/>
          <w:lang w:eastAsia="it-IT"/>
        </w:rPr>
        <w:t>, per l’attribuzione:</w:t>
      </w:r>
    </w:p>
    <w:p w:rsidR="00AE1CDC" w:rsidRPr="00AE1CDC" w:rsidRDefault="00AE1CDC" w:rsidP="00AE1CDC">
      <w:pPr>
        <w:numPr>
          <w:ilvl w:val="0"/>
          <w:numId w:val="3"/>
        </w:numPr>
        <w:shd w:val="clear" w:color="auto" w:fill="FFFFFF"/>
        <w:spacing w:before="100" w:beforeAutospacing="1" w:after="150" w:line="240" w:lineRule="auto"/>
        <w:ind w:left="315"/>
        <w:jc w:val="both"/>
        <w:rPr>
          <w:rFonts w:ascii="Times New Roman" w:eastAsia="Times New Roman" w:hAnsi="Times New Roman" w:cs="Times New Roman"/>
          <w:color w:val="000000"/>
          <w:sz w:val="24"/>
          <w:szCs w:val="24"/>
          <w:lang w:eastAsia="it-IT"/>
        </w:rPr>
      </w:pPr>
      <w:r w:rsidRPr="00AE1CDC">
        <w:rPr>
          <w:rFonts w:ascii="Times New Roman" w:eastAsia="Times New Roman" w:hAnsi="Times New Roman" w:cs="Times New Roman"/>
          <w:color w:val="000000"/>
          <w:sz w:val="24"/>
          <w:szCs w:val="24"/>
          <w:lang w:eastAsia="it-IT"/>
        </w:rPr>
        <w:t>di </w:t>
      </w:r>
      <w:r w:rsidRPr="00AE1CDC">
        <w:rPr>
          <w:rFonts w:ascii="Times New Roman" w:eastAsia="Times New Roman" w:hAnsi="Times New Roman" w:cs="Times New Roman"/>
          <w:b/>
          <w:bCs/>
          <w:color w:val="000000"/>
          <w:sz w:val="24"/>
          <w:szCs w:val="24"/>
          <w:lang w:eastAsia="it-IT"/>
        </w:rPr>
        <w:t>contratti a tempo indeterminato</w:t>
      </w:r>
      <w:r w:rsidRPr="00AE1CDC">
        <w:rPr>
          <w:rFonts w:ascii="Times New Roman" w:eastAsia="Times New Roman" w:hAnsi="Times New Roman" w:cs="Times New Roman"/>
          <w:color w:val="000000"/>
          <w:sz w:val="24"/>
          <w:szCs w:val="24"/>
          <w:lang w:eastAsia="it-IT"/>
        </w:rPr>
        <w:t>, qualora gli aspiranti siano in possesso dell’abilitazione al momento della stipula del contratto;</w:t>
      </w:r>
    </w:p>
    <w:p w:rsidR="00AE1CDC" w:rsidRPr="00AE1CDC" w:rsidRDefault="00AE1CDC" w:rsidP="00AE1CDC">
      <w:pPr>
        <w:numPr>
          <w:ilvl w:val="0"/>
          <w:numId w:val="3"/>
        </w:numPr>
        <w:shd w:val="clear" w:color="auto" w:fill="FFFFFF"/>
        <w:spacing w:before="100" w:beforeAutospacing="1" w:after="0" w:line="240" w:lineRule="auto"/>
        <w:ind w:left="315"/>
        <w:jc w:val="both"/>
        <w:rPr>
          <w:rFonts w:ascii="Times New Roman" w:eastAsia="Times New Roman" w:hAnsi="Times New Roman" w:cs="Times New Roman"/>
          <w:color w:val="000000"/>
          <w:sz w:val="24"/>
          <w:szCs w:val="24"/>
          <w:lang w:eastAsia="it-IT"/>
        </w:rPr>
      </w:pPr>
      <w:r w:rsidRPr="00AE1CDC">
        <w:rPr>
          <w:rFonts w:ascii="Times New Roman" w:eastAsia="Times New Roman" w:hAnsi="Times New Roman" w:cs="Times New Roman"/>
          <w:color w:val="000000"/>
          <w:sz w:val="24"/>
          <w:szCs w:val="24"/>
          <w:lang w:eastAsia="it-IT"/>
        </w:rPr>
        <w:t>di </w:t>
      </w:r>
      <w:r w:rsidRPr="00AE1CDC">
        <w:rPr>
          <w:rFonts w:ascii="Times New Roman" w:eastAsia="Times New Roman" w:hAnsi="Times New Roman" w:cs="Times New Roman"/>
          <w:b/>
          <w:bCs/>
          <w:color w:val="000000"/>
          <w:sz w:val="24"/>
          <w:szCs w:val="24"/>
          <w:lang w:eastAsia="it-IT"/>
        </w:rPr>
        <w:t>contratti a tempo determinato finalizzati al ruolo</w:t>
      </w:r>
      <w:r w:rsidRPr="00AE1CDC">
        <w:rPr>
          <w:rFonts w:ascii="Times New Roman" w:eastAsia="Times New Roman" w:hAnsi="Times New Roman" w:cs="Times New Roman"/>
          <w:color w:val="000000"/>
          <w:sz w:val="24"/>
          <w:szCs w:val="24"/>
          <w:lang w:eastAsia="it-IT"/>
        </w:rPr>
        <w:t>, qualora ne siano privi al momento della stipula del contratto.</w:t>
      </w:r>
    </w:p>
    <w:p w:rsidR="00AE1CDC" w:rsidRPr="00AE1CDC" w:rsidRDefault="00AE1CDC" w:rsidP="00AE1CDC">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AE1CDC">
        <w:rPr>
          <w:rFonts w:ascii="Times New Roman" w:eastAsia="Times New Roman" w:hAnsi="Times New Roman" w:cs="Times New Roman"/>
          <w:color w:val="000000"/>
          <w:sz w:val="24"/>
          <w:szCs w:val="24"/>
          <w:lang w:eastAsia="it-IT"/>
        </w:rPr>
        <w:t>In quest’ultimo caso, gli aspiranti dovranno conseguire l’abilitazione </w:t>
      </w:r>
      <w:r w:rsidRPr="00AE1CDC">
        <w:rPr>
          <w:rFonts w:ascii="Times New Roman" w:eastAsia="Times New Roman" w:hAnsi="Times New Roman" w:cs="Times New Roman"/>
          <w:b/>
          <w:bCs/>
          <w:color w:val="000000"/>
          <w:sz w:val="24"/>
          <w:szCs w:val="24"/>
          <w:lang w:eastAsia="it-IT"/>
        </w:rPr>
        <w:t>entro il medesimo anno scolastico</w:t>
      </w:r>
      <w:r w:rsidRPr="00AE1CDC">
        <w:rPr>
          <w:rFonts w:ascii="Times New Roman" w:eastAsia="Times New Roman" w:hAnsi="Times New Roman" w:cs="Times New Roman"/>
          <w:color w:val="000000"/>
          <w:sz w:val="24"/>
          <w:szCs w:val="24"/>
          <w:lang w:eastAsia="it-IT"/>
        </w:rPr>
        <w:t>. In caso di conseguimento nei termini previsti, saranno contrattualizzati a tempo indeterminato con </w:t>
      </w:r>
      <w:r w:rsidRPr="00AE1CDC">
        <w:rPr>
          <w:rFonts w:ascii="Times New Roman" w:eastAsia="Times New Roman" w:hAnsi="Times New Roman" w:cs="Times New Roman"/>
          <w:b/>
          <w:bCs/>
          <w:color w:val="000000"/>
          <w:sz w:val="24"/>
          <w:szCs w:val="24"/>
          <w:lang w:eastAsia="it-IT"/>
        </w:rPr>
        <w:t>decorrenza giuridica dal 1° settembre 2027</w:t>
      </w:r>
      <w:r w:rsidRPr="00AE1CDC">
        <w:rPr>
          <w:rFonts w:ascii="Times New Roman" w:eastAsia="Times New Roman" w:hAnsi="Times New Roman" w:cs="Times New Roman"/>
          <w:color w:val="000000"/>
          <w:sz w:val="24"/>
          <w:szCs w:val="24"/>
          <w:lang w:eastAsia="it-IT"/>
        </w:rPr>
        <w:t> ed economica dalla presa di servizio nell’anno scolastico 2027/2028. Il mancato conseguimento nei termini previsti comporterà </w:t>
      </w:r>
      <w:r w:rsidRPr="00AE1CDC">
        <w:rPr>
          <w:rFonts w:ascii="Times New Roman" w:eastAsia="Times New Roman" w:hAnsi="Times New Roman" w:cs="Times New Roman"/>
          <w:b/>
          <w:bCs/>
          <w:color w:val="000000"/>
          <w:sz w:val="24"/>
          <w:szCs w:val="24"/>
          <w:lang w:eastAsia="it-IT"/>
        </w:rPr>
        <w:t xml:space="preserve">la decadenza dalla procedura </w:t>
      </w:r>
      <w:proofErr w:type="spellStart"/>
      <w:r w:rsidRPr="00AE1CDC">
        <w:rPr>
          <w:rFonts w:ascii="Times New Roman" w:eastAsia="Times New Roman" w:hAnsi="Times New Roman" w:cs="Times New Roman"/>
          <w:b/>
          <w:bCs/>
          <w:color w:val="000000"/>
          <w:sz w:val="24"/>
          <w:szCs w:val="24"/>
          <w:lang w:eastAsia="it-IT"/>
        </w:rPr>
        <w:t>assunzionale</w:t>
      </w:r>
      <w:proofErr w:type="spellEnd"/>
      <w:r w:rsidRPr="00AE1CDC">
        <w:rPr>
          <w:rFonts w:ascii="Times New Roman" w:eastAsia="Times New Roman" w:hAnsi="Times New Roman" w:cs="Times New Roman"/>
          <w:color w:val="000000"/>
          <w:sz w:val="24"/>
          <w:szCs w:val="24"/>
          <w:lang w:eastAsia="it-IT"/>
        </w:rPr>
        <w:t>.</w:t>
      </w:r>
    </w:p>
    <w:p w:rsidR="00AE1CDC" w:rsidRPr="00AE1CDC" w:rsidRDefault="00AE1CDC" w:rsidP="00AE1CDC">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AE1CDC">
        <w:rPr>
          <w:rFonts w:ascii="Times New Roman" w:eastAsia="Times New Roman" w:hAnsi="Times New Roman" w:cs="Times New Roman"/>
          <w:color w:val="000000"/>
          <w:sz w:val="24"/>
          <w:szCs w:val="24"/>
          <w:lang w:eastAsia="it-IT"/>
        </w:rPr>
        <w:t>Gli aspiranti individuati quali destinatari di contratto a tempo indeterminato — o di contratto a tempo determinato finalizzato al ruolo — tramite lo scorrimento dell’elenco regionale saranno tenuti ad </w:t>
      </w:r>
      <w:r w:rsidRPr="00AE1CDC">
        <w:rPr>
          <w:rFonts w:ascii="Times New Roman" w:eastAsia="Times New Roman" w:hAnsi="Times New Roman" w:cs="Times New Roman"/>
          <w:b/>
          <w:bCs/>
          <w:color w:val="000000"/>
          <w:sz w:val="24"/>
          <w:szCs w:val="24"/>
          <w:lang w:eastAsia="it-IT"/>
        </w:rPr>
        <w:t>accettare o rinunciare alla sede scolastica entro cinque giorni dall’assegnazione</w:t>
      </w:r>
      <w:r w:rsidRPr="00AE1CDC">
        <w:rPr>
          <w:rFonts w:ascii="Times New Roman" w:eastAsia="Times New Roman" w:hAnsi="Times New Roman" w:cs="Times New Roman"/>
          <w:color w:val="000000"/>
          <w:sz w:val="24"/>
          <w:szCs w:val="24"/>
          <w:lang w:eastAsia="it-IT"/>
        </w:rPr>
        <w:t>.</w:t>
      </w:r>
    </w:p>
    <w:p w:rsidR="00AE1CDC" w:rsidRPr="00AE1CDC" w:rsidRDefault="00AE1CDC" w:rsidP="00AE1CDC">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AE1CDC">
        <w:rPr>
          <w:rFonts w:ascii="Times New Roman" w:eastAsia="Times New Roman" w:hAnsi="Times New Roman" w:cs="Times New Roman"/>
          <w:color w:val="000000"/>
          <w:sz w:val="24"/>
          <w:szCs w:val="24"/>
          <w:lang w:eastAsia="it-IT"/>
        </w:rPr>
        <w:t>L’accettazione della proposta di assunzione comporterà </w:t>
      </w:r>
      <w:r w:rsidRPr="00AE1CDC">
        <w:rPr>
          <w:rFonts w:ascii="Times New Roman" w:eastAsia="Times New Roman" w:hAnsi="Times New Roman" w:cs="Times New Roman"/>
          <w:b/>
          <w:bCs/>
          <w:color w:val="000000"/>
          <w:sz w:val="24"/>
          <w:szCs w:val="24"/>
          <w:lang w:eastAsia="it-IT"/>
        </w:rPr>
        <w:t>la cancellazione dall’elenco regionale per tutte le classi di concorso</w:t>
      </w:r>
      <w:r w:rsidRPr="00AE1CDC">
        <w:rPr>
          <w:rFonts w:ascii="Times New Roman" w:eastAsia="Times New Roman" w:hAnsi="Times New Roman" w:cs="Times New Roman"/>
          <w:color w:val="000000"/>
          <w:sz w:val="24"/>
          <w:szCs w:val="24"/>
          <w:lang w:eastAsia="it-IT"/>
        </w:rPr>
        <w:t> in cui il candidato risulta inserito. Inoltre, l’accettazione della sede scolastica comporterà </w:t>
      </w:r>
      <w:r w:rsidRPr="00AE1CDC">
        <w:rPr>
          <w:rFonts w:ascii="Times New Roman" w:eastAsia="Times New Roman" w:hAnsi="Times New Roman" w:cs="Times New Roman"/>
          <w:b/>
          <w:bCs/>
          <w:color w:val="000000"/>
          <w:sz w:val="24"/>
          <w:szCs w:val="24"/>
          <w:lang w:eastAsia="it-IT"/>
        </w:rPr>
        <w:t>l’impossibilità di partecipare alle procedure per il conferimento di incarichi a tempo determinato o di ottenere supplenze</w:t>
      </w:r>
      <w:r w:rsidRPr="00AE1CDC">
        <w:rPr>
          <w:rFonts w:ascii="Times New Roman" w:eastAsia="Times New Roman" w:hAnsi="Times New Roman" w:cs="Times New Roman"/>
          <w:color w:val="000000"/>
          <w:sz w:val="24"/>
          <w:szCs w:val="24"/>
          <w:lang w:eastAsia="it-IT"/>
        </w:rPr>
        <w:t> per l’anno scolastico di riferimento.</w:t>
      </w:r>
    </w:p>
    <w:p w:rsidR="00AE1CDC" w:rsidRPr="00AE1CDC" w:rsidRDefault="00AE1CDC" w:rsidP="00AE1CDC">
      <w:pPr>
        <w:shd w:val="clear" w:color="auto" w:fill="FFFFFF"/>
        <w:spacing w:after="390" w:line="240" w:lineRule="auto"/>
        <w:jc w:val="both"/>
        <w:rPr>
          <w:rFonts w:ascii="Times New Roman" w:eastAsia="Times New Roman" w:hAnsi="Times New Roman" w:cs="Times New Roman"/>
          <w:color w:val="000000"/>
          <w:sz w:val="24"/>
          <w:szCs w:val="24"/>
          <w:lang w:eastAsia="it-IT"/>
        </w:rPr>
      </w:pPr>
      <w:r w:rsidRPr="00AE1CDC">
        <w:rPr>
          <w:rFonts w:ascii="Times New Roman" w:eastAsia="Times New Roman" w:hAnsi="Times New Roman" w:cs="Times New Roman"/>
          <w:color w:val="000000"/>
          <w:sz w:val="24"/>
          <w:szCs w:val="24"/>
          <w:lang w:eastAsia="it-IT"/>
        </w:rPr>
        <w:lastRenderedPageBreak/>
        <w:t>La mancata accettazione della sede nei termini indicati sarà considerata rinuncia d’ufficio alla nomina, con conseguente </w:t>
      </w:r>
      <w:r w:rsidRPr="00AE1CDC">
        <w:rPr>
          <w:rFonts w:ascii="Times New Roman" w:eastAsia="Times New Roman" w:hAnsi="Times New Roman" w:cs="Times New Roman"/>
          <w:b/>
          <w:bCs/>
          <w:color w:val="000000"/>
          <w:sz w:val="24"/>
          <w:szCs w:val="24"/>
          <w:lang w:eastAsia="it-IT"/>
        </w:rPr>
        <w:t>decadenza dall’incarico e cancellazione dalla graduatoria dell’elenco regionale</w:t>
      </w:r>
      <w:r w:rsidRPr="00AE1CDC">
        <w:rPr>
          <w:rFonts w:ascii="Times New Roman" w:eastAsia="Times New Roman" w:hAnsi="Times New Roman" w:cs="Times New Roman"/>
          <w:color w:val="000000"/>
          <w:sz w:val="24"/>
          <w:szCs w:val="24"/>
          <w:lang w:eastAsia="it-IT"/>
        </w:rPr>
        <w:t> sulla base della quale la nomina è stata conferita.</w:t>
      </w:r>
    </w:p>
    <w:p w:rsidR="00AD44B1" w:rsidRPr="00AE1CDC" w:rsidRDefault="00AD44B1">
      <w:pPr>
        <w:rPr>
          <w:rFonts w:ascii="Times New Roman" w:hAnsi="Times New Roman" w:cs="Times New Roman"/>
          <w:sz w:val="24"/>
          <w:szCs w:val="24"/>
        </w:rPr>
      </w:pPr>
    </w:p>
    <w:sectPr w:rsidR="00AD44B1" w:rsidRPr="00AE1CD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AF71F9"/>
    <w:multiLevelType w:val="multilevel"/>
    <w:tmpl w:val="444C9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9A51C6"/>
    <w:multiLevelType w:val="multilevel"/>
    <w:tmpl w:val="CBC0F9F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47CC0F50"/>
    <w:multiLevelType w:val="multilevel"/>
    <w:tmpl w:val="239EB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CDC"/>
    <w:rsid w:val="00AD44B1"/>
    <w:rsid w:val="00AE1CD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7BE9D"/>
  <w15:chartTrackingRefBased/>
  <w15:docId w15:val="{A0F45A8B-A184-4C09-AE7A-88B2BF45E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35339691">
      <w:bodyDiv w:val="1"/>
      <w:marLeft w:val="0"/>
      <w:marRight w:val="0"/>
      <w:marTop w:val="0"/>
      <w:marBottom w:val="0"/>
      <w:divBdr>
        <w:top w:val="none" w:sz="0" w:space="0" w:color="auto"/>
        <w:left w:val="none" w:sz="0" w:space="0" w:color="auto"/>
        <w:bottom w:val="none" w:sz="0" w:space="0" w:color="auto"/>
        <w:right w:val="none" w:sz="0" w:space="0" w:color="auto"/>
      </w:divBdr>
      <w:divsChild>
        <w:div w:id="1309937275">
          <w:marLeft w:val="0"/>
          <w:marRight w:val="0"/>
          <w:marTop w:val="0"/>
          <w:marBottom w:val="285"/>
          <w:divBdr>
            <w:top w:val="none" w:sz="0" w:space="0" w:color="auto"/>
            <w:left w:val="none" w:sz="0" w:space="0" w:color="auto"/>
            <w:bottom w:val="none" w:sz="0" w:space="0" w:color="auto"/>
            <w:right w:val="none" w:sz="0" w:space="0" w:color="auto"/>
          </w:divBdr>
          <w:divsChild>
            <w:div w:id="1451170363">
              <w:marLeft w:val="0"/>
              <w:marRight w:val="0"/>
              <w:marTop w:val="0"/>
              <w:marBottom w:val="0"/>
              <w:divBdr>
                <w:top w:val="none" w:sz="0" w:space="0" w:color="auto"/>
                <w:left w:val="none" w:sz="0" w:space="0" w:color="auto"/>
                <w:bottom w:val="none" w:sz="0" w:space="0" w:color="auto"/>
                <w:right w:val="none" w:sz="0" w:space="0" w:color="auto"/>
              </w:divBdr>
            </w:div>
          </w:divsChild>
        </w:div>
        <w:div w:id="14969253">
          <w:marLeft w:val="0"/>
          <w:marRight w:val="0"/>
          <w:marTop w:val="0"/>
          <w:marBottom w:val="240"/>
          <w:divBdr>
            <w:top w:val="none" w:sz="0" w:space="0" w:color="auto"/>
            <w:left w:val="none" w:sz="0" w:space="0" w:color="auto"/>
            <w:bottom w:val="none" w:sz="0" w:space="0" w:color="auto"/>
            <w:right w:val="none" w:sz="0" w:space="0" w:color="auto"/>
          </w:divBdr>
          <w:divsChild>
            <w:div w:id="252400836">
              <w:marLeft w:val="0"/>
              <w:marRight w:val="0"/>
              <w:marTop w:val="0"/>
              <w:marBottom w:val="0"/>
              <w:divBdr>
                <w:top w:val="none" w:sz="0" w:space="0" w:color="auto"/>
                <w:left w:val="none" w:sz="0" w:space="0" w:color="auto"/>
                <w:bottom w:val="none" w:sz="0" w:space="0" w:color="auto"/>
                <w:right w:val="none" w:sz="0" w:space="0" w:color="auto"/>
              </w:divBdr>
            </w:div>
          </w:divsChild>
        </w:div>
        <w:div w:id="1903633299">
          <w:marLeft w:val="0"/>
          <w:marRight w:val="0"/>
          <w:marTop w:val="0"/>
          <w:marBottom w:val="240"/>
          <w:divBdr>
            <w:top w:val="none" w:sz="0" w:space="0" w:color="auto"/>
            <w:left w:val="none" w:sz="0" w:space="0" w:color="auto"/>
            <w:bottom w:val="none" w:sz="0" w:space="0" w:color="auto"/>
            <w:right w:val="none" w:sz="0" w:space="0" w:color="auto"/>
          </w:divBdr>
          <w:divsChild>
            <w:div w:id="193232447">
              <w:marLeft w:val="0"/>
              <w:marRight w:val="0"/>
              <w:marTop w:val="0"/>
              <w:marBottom w:val="0"/>
              <w:divBdr>
                <w:top w:val="none" w:sz="0" w:space="0" w:color="auto"/>
                <w:left w:val="none" w:sz="0" w:space="0" w:color="auto"/>
                <w:bottom w:val="none" w:sz="0" w:space="0" w:color="auto"/>
                <w:right w:val="none" w:sz="0" w:space="0" w:color="auto"/>
              </w:divBdr>
            </w:div>
          </w:divsChild>
        </w:div>
        <w:div w:id="2129425041">
          <w:marLeft w:val="0"/>
          <w:marRight w:val="0"/>
          <w:marTop w:val="0"/>
          <w:marBottom w:val="345"/>
          <w:divBdr>
            <w:top w:val="none" w:sz="0" w:space="0" w:color="auto"/>
            <w:left w:val="none" w:sz="0" w:space="0" w:color="auto"/>
            <w:bottom w:val="none" w:sz="0" w:space="0" w:color="auto"/>
            <w:right w:val="none" w:sz="0" w:space="0" w:color="auto"/>
          </w:divBdr>
          <w:divsChild>
            <w:div w:id="701174175">
              <w:marLeft w:val="-45"/>
              <w:marRight w:val="-45"/>
              <w:marTop w:val="0"/>
              <w:marBottom w:val="0"/>
              <w:divBdr>
                <w:top w:val="none" w:sz="0" w:space="0" w:color="auto"/>
                <w:left w:val="none" w:sz="0" w:space="0" w:color="auto"/>
                <w:bottom w:val="none" w:sz="0" w:space="0" w:color="auto"/>
                <w:right w:val="none" w:sz="0" w:space="0" w:color="auto"/>
              </w:divBdr>
              <w:divsChild>
                <w:div w:id="423110960">
                  <w:marLeft w:val="0"/>
                  <w:marRight w:val="0"/>
                  <w:marTop w:val="0"/>
                  <w:marBottom w:val="0"/>
                  <w:divBdr>
                    <w:top w:val="none" w:sz="0" w:space="0" w:color="auto"/>
                    <w:left w:val="none" w:sz="0" w:space="0" w:color="auto"/>
                    <w:bottom w:val="none" w:sz="0" w:space="0" w:color="auto"/>
                    <w:right w:val="none" w:sz="0" w:space="0" w:color="auto"/>
                  </w:divBdr>
                  <w:divsChild>
                    <w:div w:id="1889025684">
                      <w:marLeft w:val="45"/>
                      <w:marRight w:val="270"/>
                      <w:marTop w:val="0"/>
                      <w:marBottom w:val="105"/>
                      <w:divBdr>
                        <w:top w:val="single" w:sz="6" w:space="0" w:color="E9E9E9"/>
                        <w:left w:val="single" w:sz="6" w:space="0" w:color="E9E9E9"/>
                        <w:bottom w:val="single" w:sz="6" w:space="0" w:color="E9E9E9"/>
                        <w:right w:val="single" w:sz="6" w:space="0" w:color="E9E9E9"/>
                      </w:divBdr>
                      <w:divsChild>
                        <w:div w:id="1344212409">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3401758">
          <w:marLeft w:val="0"/>
          <w:marRight w:val="0"/>
          <w:marTop w:val="0"/>
          <w:marBottom w:val="390"/>
          <w:divBdr>
            <w:top w:val="none" w:sz="0" w:space="0" w:color="auto"/>
            <w:left w:val="none" w:sz="0" w:space="0" w:color="auto"/>
            <w:bottom w:val="none" w:sz="0" w:space="0" w:color="auto"/>
            <w:right w:val="none" w:sz="0" w:space="0" w:color="auto"/>
          </w:divBdr>
          <w:divsChild>
            <w:div w:id="238830962">
              <w:marLeft w:val="0"/>
              <w:marRight w:val="0"/>
              <w:marTop w:val="0"/>
              <w:marBottom w:val="0"/>
              <w:divBdr>
                <w:top w:val="none" w:sz="0" w:space="0" w:color="auto"/>
                <w:left w:val="none" w:sz="0" w:space="0" w:color="auto"/>
                <w:bottom w:val="none" w:sz="0" w:space="0" w:color="auto"/>
                <w:right w:val="none" w:sz="0" w:space="0" w:color="auto"/>
              </w:divBdr>
            </w:div>
          </w:divsChild>
        </w:div>
        <w:div w:id="282075061">
          <w:marLeft w:val="0"/>
          <w:marRight w:val="0"/>
          <w:marTop w:val="315"/>
          <w:marBottom w:val="0"/>
          <w:divBdr>
            <w:top w:val="none" w:sz="0" w:space="0" w:color="auto"/>
            <w:left w:val="none" w:sz="0" w:space="0" w:color="auto"/>
            <w:bottom w:val="none" w:sz="0" w:space="0" w:color="auto"/>
            <w:right w:val="none" w:sz="0" w:space="0" w:color="auto"/>
          </w:divBdr>
          <w:divsChild>
            <w:div w:id="811094766">
              <w:marLeft w:val="0"/>
              <w:marRight w:val="0"/>
              <w:marTop w:val="0"/>
              <w:marBottom w:val="0"/>
              <w:divBdr>
                <w:top w:val="none" w:sz="0" w:space="0" w:color="auto"/>
                <w:left w:val="none" w:sz="0" w:space="0" w:color="auto"/>
                <w:bottom w:val="none" w:sz="0" w:space="0" w:color="auto"/>
                <w:right w:val="none" w:sz="0" w:space="0" w:color="auto"/>
              </w:divBdr>
              <w:divsChild>
                <w:div w:id="2129231561">
                  <w:marLeft w:val="0"/>
                  <w:marRight w:val="0"/>
                  <w:marTop w:val="0"/>
                  <w:marBottom w:val="450"/>
                  <w:divBdr>
                    <w:top w:val="none" w:sz="0" w:space="0" w:color="auto"/>
                    <w:left w:val="none" w:sz="0" w:space="0" w:color="auto"/>
                    <w:bottom w:val="none" w:sz="0" w:space="0" w:color="auto"/>
                    <w:right w:val="none" w:sz="0" w:space="0" w:color="auto"/>
                  </w:divBdr>
                  <w:divsChild>
                    <w:div w:id="1734503411">
                      <w:marLeft w:val="0"/>
                      <w:marRight w:val="0"/>
                      <w:marTop w:val="0"/>
                      <w:marBottom w:val="0"/>
                      <w:divBdr>
                        <w:top w:val="none" w:sz="0" w:space="0" w:color="auto"/>
                        <w:left w:val="none" w:sz="0" w:space="0" w:color="auto"/>
                        <w:bottom w:val="none" w:sz="0" w:space="0" w:color="auto"/>
                        <w:right w:val="none" w:sz="0" w:space="0" w:color="auto"/>
                      </w:divBdr>
                      <w:divsChild>
                        <w:div w:id="1583221523">
                          <w:marLeft w:val="0"/>
                          <w:marRight w:val="0"/>
                          <w:marTop w:val="0"/>
                          <w:marBottom w:val="0"/>
                          <w:divBdr>
                            <w:top w:val="none" w:sz="0" w:space="0" w:color="auto"/>
                            <w:left w:val="none" w:sz="0" w:space="0" w:color="auto"/>
                            <w:bottom w:val="none" w:sz="0" w:space="0" w:color="auto"/>
                            <w:right w:val="none" w:sz="0" w:space="0" w:color="auto"/>
                          </w:divBdr>
                          <w:divsChild>
                            <w:div w:id="107894335">
                              <w:marLeft w:val="0"/>
                              <w:marRight w:val="0"/>
                              <w:marTop w:val="0"/>
                              <w:marBottom w:val="0"/>
                              <w:divBdr>
                                <w:top w:val="none" w:sz="0" w:space="0" w:color="auto"/>
                                <w:left w:val="none" w:sz="0" w:space="0" w:color="auto"/>
                                <w:bottom w:val="none" w:sz="0" w:space="0" w:color="auto"/>
                                <w:right w:val="none" w:sz="0" w:space="0" w:color="auto"/>
                              </w:divBdr>
                              <w:divsChild>
                                <w:div w:id="1040864963">
                                  <w:marLeft w:val="0"/>
                                  <w:marRight w:val="0"/>
                                  <w:marTop w:val="0"/>
                                  <w:marBottom w:val="0"/>
                                  <w:divBdr>
                                    <w:top w:val="none" w:sz="0" w:space="0" w:color="auto"/>
                                    <w:left w:val="none" w:sz="0" w:space="0" w:color="auto"/>
                                    <w:bottom w:val="none" w:sz="0" w:space="0" w:color="auto"/>
                                    <w:right w:val="none" w:sz="0" w:space="0" w:color="auto"/>
                                  </w:divBdr>
                                  <w:divsChild>
                                    <w:div w:id="442387122">
                                      <w:marLeft w:val="0"/>
                                      <w:marRight w:val="0"/>
                                      <w:marTop w:val="0"/>
                                      <w:marBottom w:val="0"/>
                                      <w:divBdr>
                                        <w:top w:val="none" w:sz="0" w:space="0" w:color="auto"/>
                                        <w:left w:val="none" w:sz="0" w:space="0" w:color="auto"/>
                                        <w:bottom w:val="none" w:sz="0" w:space="0" w:color="auto"/>
                                        <w:right w:val="none" w:sz="0" w:space="0" w:color="auto"/>
                                      </w:divBdr>
                                      <w:divsChild>
                                        <w:div w:id="1280913455">
                                          <w:marLeft w:val="0"/>
                                          <w:marRight w:val="0"/>
                                          <w:marTop w:val="300"/>
                                          <w:marBottom w:val="600"/>
                                          <w:divBdr>
                                            <w:top w:val="none" w:sz="0" w:space="0" w:color="auto"/>
                                            <w:left w:val="none" w:sz="0" w:space="0" w:color="auto"/>
                                            <w:bottom w:val="none" w:sz="0" w:space="0" w:color="auto"/>
                                            <w:right w:val="none" w:sz="0" w:space="0" w:color="auto"/>
                                          </w:divBdr>
                                          <w:divsChild>
                                            <w:div w:id="1901673272">
                                              <w:marLeft w:val="0"/>
                                              <w:marRight w:val="0"/>
                                              <w:marTop w:val="0"/>
                                              <w:marBottom w:val="0"/>
                                              <w:divBdr>
                                                <w:top w:val="none" w:sz="0" w:space="0" w:color="auto"/>
                                                <w:left w:val="none" w:sz="0" w:space="0" w:color="auto"/>
                                                <w:bottom w:val="none" w:sz="0" w:space="0" w:color="auto"/>
                                                <w:right w:val="none" w:sz="0" w:space="0" w:color="auto"/>
                                              </w:divBdr>
                                            </w:div>
                                            <w:div w:id="6248850">
                                              <w:marLeft w:val="0"/>
                                              <w:marRight w:val="0"/>
                                              <w:marTop w:val="0"/>
                                              <w:marBottom w:val="0"/>
                                              <w:divBdr>
                                                <w:top w:val="single" w:sz="6" w:space="0" w:color="E6E8EB"/>
                                                <w:left w:val="single" w:sz="6" w:space="0" w:color="E6E8EB"/>
                                                <w:bottom w:val="single" w:sz="6" w:space="0" w:color="E6E8EB"/>
                                                <w:right w:val="single" w:sz="6" w:space="0" w:color="E6E8EB"/>
                                              </w:divBdr>
                                              <w:divsChild>
                                                <w:div w:id="1574075054">
                                                  <w:marLeft w:val="0"/>
                                                  <w:marRight w:val="0"/>
                                                  <w:marTop w:val="0"/>
                                                  <w:marBottom w:val="0"/>
                                                  <w:divBdr>
                                                    <w:top w:val="none" w:sz="0" w:space="0" w:color="auto"/>
                                                    <w:left w:val="none" w:sz="0" w:space="0" w:color="auto"/>
                                                    <w:bottom w:val="none" w:sz="0" w:space="0" w:color="auto"/>
                                                    <w:right w:val="none" w:sz="0" w:space="0" w:color="auto"/>
                                                  </w:divBdr>
                                                  <w:divsChild>
                                                    <w:div w:id="1437944382">
                                                      <w:marLeft w:val="0"/>
                                                      <w:marRight w:val="0"/>
                                                      <w:marTop w:val="0"/>
                                                      <w:marBottom w:val="0"/>
                                                      <w:divBdr>
                                                        <w:top w:val="single" w:sz="6" w:space="8" w:color="E6E8EB"/>
                                                        <w:left w:val="none" w:sz="0" w:space="0" w:color="auto"/>
                                                        <w:bottom w:val="none" w:sz="0" w:space="0" w:color="auto"/>
                                                        <w:right w:val="none" w:sz="0" w:space="0" w:color="auto"/>
                                                      </w:divBdr>
                                                    </w:div>
                                                    <w:div w:id="1237789678">
                                                      <w:marLeft w:val="0"/>
                                                      <w:marRight w:val="0"/>
                                                      <w:marTop w:val="0"/>
                                                      <w:marBottom w:val="0"/>
                                                      <w:divBdr>
                                                        <w:top w:val="single" w:sz="6" w:space="0" w:color="EEEEEE"/>
                                                        <w:left w:val="single" w:sz="6" w:space="0" w:color="EEEEEE"/>
                                                        <w:bottom w:val="single" w:sz="6" w:space="0" w:color="EEEEEE"/>
                                                        <w:right w:val="single" w:sz="6" w:space="0" w:color="EEEEEE"/>
                                                      </w:divBdr>
                                                      <w:divsChild>
                                                        <w:div w:id="85545258">
                                                          <w:marLeft w:val="0"/>
                                                          <w:marRight w:val="0"/>
                                                          <w:marTop w:val="0"/>
                                                          <w:marBottom w:val="0"/>
                                                          <w:divBdr>
                                                            <w:top w:val="none" w:sz="0" w:space="0" w:color="auto"/>
                                                            <w:left w:val="none" w:sz="0" w:space="0" w:color="auto"/>
                                                            <w:bottom w:val="none" w:sz="0" w:space="0" w:color="auto"/>
                                                            <w:right w:val="none" w:sz="0" w:space="0" w:color="auto"/>
                                                          </w:divBdr>
                                                          <w:divsChild>
                                                            <w:div w:id="1827890032">
                                                              <w:marLeft w:val="0"/>
                                                              <w:marRight w:val="0"/>
                                                              <w:marTop w:val="0"/>
                                                              <w:marBottom w:val="0"/>
                                                              <w:divBdr>
                                                                <w:top w:val="none" w:sz="0" w:space="0" w:color="auto"/>
                                                                <w:left w:val="none" w:sz="0" w:space="0" w:color="auto"/>
                                                                <w:bottom w:val="none" w:sz="0" w:space="0" w:color="auto"/>
                                                                <w:right w:val="none" w:sz="0" w:space="0" w:color="auto"/>
                                                              </w:divBdr>
                                                            </w:div>
                                                            <w:div w:id="1652439914">
                                                              <w:marLeft w:val="0"/>
                                                              <w:marRight w:val="0"/>
                                                              <w:marTop w:val="0"/>
                                                              <w:marBottom w:val="0"/>
                                                              <w:divBdr>
                                                                <w:top w:val="none" w:sz="0" w:space="0" w:color="auto"/>
                                                                <w:left w:val="none" w:sz="0" w:space="0" w:color="auto"/>
                                                                <w:bottom w:val="none" w:sz="0" w:space="0" w:color="auto"/>
                                                                <w:right w:val="none" w:sz="0" w:space="0" w:color="auto"/>
                                                              </w:divBdr>
                                                            </w:div>
                                                            <w:div w:id="55400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22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1210</Words>
  <Characters>6902</Characters>
  <Application>Microsoft Office Word</Application>
  <DocSecurity>0</DocSecurity>
  <Lines>57</Lines>
  <Paragraphs>16</Paragraphs>
  <ScaleCrop>false</ScaleCrop>
  <Company/>
  <LinksUpToDate>false</LinksUpToDate>
  <CharactersWithSpaces>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2026-05-01T16:50:00Z</dcterms:created>
  <dcterms:modified xsi:type="dcterms:W3CDTF">2026-05-01T16:54:00Z</dcterms:modified>
</cp:coreProperties>
</file>